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BDC51" w14:textId="2D609BF4" w:rsidR="007B4290" w:rsidRPr="006B1ADB" w:rsidRDefault="0074793F" w:rsidP="006B1ADB">
      <w:pPr>
        <w:pStyle w:val="NoSpacing"/>
        <w:jc w:val="center"/>
        <w:rPr>
          <w:b/>
        </w:rPr>
      </w:pPr>
      <w:bookmarkStart w:id="0" w:name="_GoBack"/>
      <w:bookmarkEnd w:id="0"/>
      <w:r w:rsidRPr="006B1ADB">
        <w:rPr>
          <w:b/>
        </w:rPr>
        <w:t>WELCOME PILGRIM</w:t>
      </w:r>
      <w:r w:rsidR="00E03A66" w:rsidRPr="006B1ADB">
        <w:rPr>
          <w:b/>
        </w:rPr>
        <w:t xml:space="preserve"> </w:t>
      </w:r>
    </w:p>
    <w:p w14:paraId="42EFD0C3" w14:textId="4FC83329" w:rsidR="006B1ADB" w:rsidRDefault="00DA06D0" w:rsidP="00DA06D0">
      <w:pPr>
        <w:pStyle w:val="NoSpacing"/>
        <w:tabs>
          <w:tab w:val="left" w:pos="7640"/>
        </w:tabs>
      </w:pPr>
      <w:r>
        <w:tab/>
      </w:r>
    </w:p>
    <w:p w14:paraId="0528B1AB" w14:textId="450857C1" w:rsidR="00BA1EC4" w:rsidRPr="001D41A0" w:rsidRDefault="00560793" w:rsidP="006B1ADB">
      <w:pPr>
        <w:pStyle w:val="NoSpacing"/>
        <w:jc w:val="center"/>
        <w:rPr>
          <w:sz w:val="22"/>
        </w:rPr>
      </w:pPr>
      <w:r>
        <w:rPr>
          <w:sz w:val="22"/>
        </w:rPr>
        <w:t>by</w:t>
      </w:r>
    </w:p>
    <w:p w14:paraId="0534A506" w14:textId="4E5F982A" w:rsidR="00BA1EC4" w:rsidRPr="001D41A0" w:rsidRDefault="00DA06D0" w:rsidP="00DA06D0">
      <w:pPr>
        <w:pStyle w:val="NoSpacing"/>
        <w:tabs>
          <w:tab w:val="left" w:pos="7680"/>
        </w:tabs>
        <w:rPr>
          <w:sz w:val="22"/>
        </w:rPr>
      </w:pPr>
      <w:r>
        <w:rPr>
          <w:sz w:val="22"/>
        </w:rPr>
        <w:tab/>
      </w:r>
    </w:p>
    <w:p w14:paraId="4FAB779F" w14:textId="17BDCC83" w:rsidR="007B4290" w:rsidRPr="001D41A0" w:rsidRDefault="006B1ADB" w:rsidP="006B1ADB">
      <w:pPr>
        <w:pStyle w:val="NoSpacing"/>
        <w:jc w:val="center"/>
        <w:rPr>
          <w:sz w:val="22"/>
        </w:rPr>
      </w:pPr>
      <w:r w:rsidRPr="001D41A0">
        <w:rPr>
          <w:sz w:val="22"/>
        </w:rPr>
        <w:t>Randolph M. Karsh</w:t>
      </w:r>
      <w:r w:rsidR="00F82AF2">
        <w:rPr>
          <w:sz w:val="22"/>
        </w:rPr>
        <w:t>, Esq.</w:t>
      </w:r>
    </w:p>
    <w:p w14:paraId="0019018E" w14:textId="4AB698F2" w:rsidR="006B1ADB" w:rsidRPr="001D41A0" w:rsidRDefault="00F82AF2" w:rsidP="006B1ADB">
      <w:pPr>
        <w:pStyle w:val="NoSpacing"/>
        <w:jc w:val="center"/>
        <w:rPr>
          <w:sz w:val="22"/>
        </w:rPr>
      </w:pPr>
      <w:r>
        <w:rPr>
          <w:sz w:val="22"/>
        </w:rPr>
        <w:t xml:space="preserve">Special </w:t>
      </w:r>
      <w:r w:rsidR="009272B3">
        <w:rPr>
          <w:sz w:val="22"/>
        </w:rPr>
        <w:t xml:space="preserve">Tax </w:t>
      </w:r>
      <w:r>
        <w:rPr>
          <w:sz w:val="22"/>
        </w:rPr>
        <w:t xml:space="preserve">Counsel, </w:t>
      </w:r>
      <w:r w:rsidR="006B1ADB" w:rsidRPr="001D41A0">
        <w:rPr>
          <w:sz w:val="22"/>
        </w:rPr>
        <w:t>Sparks Willson, P.C.</w:t>
      </w:r>
    </w:p>
    <w:p w14:paraId="5A5D628D" w14:textId="796A21A1" w:rsidR="006B1ADB" w:rsidRPr="001D41A0" w:rsidRDefault="00473028" w:rsidP="00473028">
      <w:pPr>
        <w:pStyle w:val="NoSpacing"/>
        <w:tabs>
          <w:tab w:val="center" w:pos="4680"/>
          <w:tab w:val="left" w:pos="8520"/>
        </w:tabs>
        <w:rPr>
          <w:sz w:val="22"/>
        </w:rPr>
      </w:pPr>
      <w:r>
        <w:rPr>
          <w:sz w:val="22"/>
        </w:rPr>
        <w:tab/>
      </w:r>
      <w:r w:rsidR="00BA1EC4" w:rsidRPr="001D41A0">
        <w:rPr>
          <w:sz w:val="22"/>
        </w:rPr>
        <w:t xml:space="preserve">(March </w:t>
      </w:r>
      <w:r w:rsidR="00AE2FA1">
        <w:rPr>
          <w:sz w:val="22"/>
        </w:rPr>
        <w:t>14</w:t>
      </w:r>
      <w:r w:rsidR="00BA1EC4" w:rsidRPr="001D41A0">
        <w:rPr>
          <w:sz w:val="22"/>
        </w:rPr>
        <w:t>, 2017)</w:t>
      </w:r>
      <w:r>
        <w:rPr>
          <w:sz w:val="22"/>
        </w:rPr>
        <w:tab/>
      </w:r>
    </w:p>
    <w:p w14:paraId="4B9A9D61" w14:textId="77777777" w:rsidR="006B1ADB" w:rsidRPr="001D41A0" w:rsidRDefault="006B1ADB" w:rsidP="006B1ADB">
      <w:pPr>
        <w:jc w:val="center"/>
        <w:rPr>
          <w:sz w:val="22"/>
        </w:rPr>
      </w:pPr>
    </w:p>
    <w:p w14:paraId="059477C5" w14:textId="77777777" w:rsidR="00E47EEA" w:rsidRDefault="00E50B8C" w:rsidP="0092708C">
      <w:pPr>
        <w:pStyle w:val="NoSpacing"/>
        <w:jc w:val="both"/>
        <w:rPr>
          <w:sz w:val="22"/>
        </w:rPr>
      </w:pPr>
      <w:r>
        <w:rPr>
          <w:sz w:val="22"/>
        </w:rPr>
        <w:t>I.</w:t>
      </w:r>
      <w:r w:rsidR="007B4290" w:rsidRPr="00B735A0">
        <w:rPr>
          <w:b/>
          <w:i/>
          <w:sz w:val="22"/>
        </w:rPr>
        <w:t xml:space="preserve">  </w:t>
      </w:r>
      <w:r w:rsidR="00B735A0" w:rsidRPr="00B735A0">
        <w:rPr>
          <w:sz w:val="22"/>
        </w:rPr>
        <w:t>U</w:t>
      </w:r>
      <w:r w:rsidR="00E33BDF">
        <w:rPr>
          <w:sz w:val="22"/>
        </w:rPr>
        <w:t>.</w:t>
      </w:r>
      <w:r w:rsidR="00B735A0" w:rsidRPr="00B735A0">
        <w:rPr>
          <w:sz w:val="22"/>
        </w:rPr>
        <w:t>S</w:t>
      </w:r>
      <w:r w:rsidR="00E33BDF">
        <w:rPr>
          <w:sz w:val="22"/>
        </w:rPr>
        <w:t>.</w:t>
      </w:r>
      <w:r w:rsidR="00B735A0" w:rsidRPr="00B735A0">
        <w:rPr>
          <w:sz w:val="22"/>
        </w:rPr>
        <w:t xml:space="preserve"> </w:t>
      </w:r>
      <w:r w:rsidR="00E33BDF">
        <w:rPr>
          <w:sz w:val="22"/>
        </w:rPr>
        <w:t>TAX NEXUS</w:t>
      </w:r>
    </w:p>
    <w:p w14:paraId="2BC378C4" w14:textId="77777777" w:rsidR="00E47EEA" w:rsidRDefault="00E47EEA" w:rsidP="0092708C">
      <w:pPr>
        <w:pStyle w:val="NoSpacing"/>
        <w:jc w:val="both"/>
        <w:rPr>
          <w:sz w:val="22"/>
        </w:rPr>
      </w:pPr>
    </w:p>
    <w:p w14:paraId="625CDC41" w14:textId="77777777" w:rsidR="0039071B" w:rsidRDefault="00F23B32" w:rsidP="00DA06D0">
      <w:pPr>
        <w:pStyle w:val="NoSpacing"/>
        <w:tabs>
          <w:tab w:val="left" w:pos="720"/>
          <w:tab w:val="left" w:pos="1440"/>
          <w:tab w:val="left" w:pos="2160"/>
          <w:tab w:val="left" w:pos="2880"/>
          <w:tab w:val="left" w:pos="3600"/>
          <w:tab w:val="center" w:pos="4680"/>
        </w:tabs>
        <w:jc w:val="both"/>
        <w:rPr>
          <w:sz w:val="22"/>
        </w:rPr>
      </w:pPr>
      <w:r>
        <w:rPr>
          <w:sz w:val="22"/>
        </w:rPr>
        <w:t>A.</w:t>
      </w:r>
      <w:r>
        <w:rPr>
          <w:sz w:val="22"/>
        </w:rPr>
        <w:tab/>
      </w:r>
      <w:r w:rsidR="00E47EEA">
        <w:rPr>
          <w:sz w:val="22"/>
          <w:u w:val="single"/>
        </w:rPr>
        <w:t xml:space="preserve">Welcome </w:t>
      </w:r>
      <w:r w:rsidR="00486343">
        <w:rPr>
          <w:sz w:val="22"/>
          <w:u w:val="single"/>
        </w:rPr>
        <w:t xml:space="preserve">Resident Alien or </w:t>
      </w:r>
      <w:r w:rsidR="00E47EEA">
        <w:rPr>
          <w:sz w:val="22"/>
          <w:u w:val="single"/>
        </w:rPr>
        <w:t>Citizen</w:t>
      </w:r>
      <w:r w:rsidR="00E47EEA">
        <w:rPr>
          <w:sz w:val="22"/>
        </w:rPr>
        <w:t>.</w:t>
      </w:r>
    </w:p>
    <w:p w14:paraId="04FCB386" w14:textId="1F7A9789" w:rsidR="00E50B8C" w:rsidRDefault="00DA06D0" w:rsidP="00DA06D0">
      <w:pPr>
        <w:pStyle w:val="NoSpacing"/>
        <w:tabs>
          <w:tab w:val="left" w:pos="720"/>
          <w:tab w:val="left" w:pos="1440"/>
          <w:tab w:val="left" w:pos="2160"/>
          <w:tab w:val="left" w:pos="2880"/>
          <w:tab w:val="left" w:pos="3600"/>
          <w:tab w:val="center" w:pos="4680"/>
        </w:tabs>
        <w:jc w:val="both"/>
        <w:rPr>
          <w:sz w:val="22"/>
        </w:rPr>
      </w:pPr>
      <w:r>
        <w:rPr>
          <w:sz w:val="22"/>
        </w:rPr>
        <w:tab/>
      </w:r>
    </w:p>
    <w:p w14:paraId="6D7FD79F" w14:textId="77777777" w:rsidR="00E47EEA" w:rsidRDefault="00E47EEA" w:rsidP="006A56B3">
      <w:pPr>
        <w:pStyle w:val="NoSpacing"/>
        <w:numPr>
          <w:ilvl w:val="0"/>
          <w:numId w:val="2"/>
        </w:numPr>
        <w:jc w:val="both"/>
        <w:rPr>
          <w:sz w:val="22"/>
        </w:rPr>
      </w:pPr>
      <w:r>
        <w:rPr>
          <w:sz w:val="22"/>
        </w:rPr>
        <w:t xml:space="preserve">Subject to income taxation on </w:t>
      </w:r>
      <w:r>
        <w:rPr>
          <w:sz w:val="22"/>
          <w:u w:val="single"/>
        </w:rPr>
        <w:t>worldwide</w:t>
      </w:r>
      <w:r>
        <w:rPr>
          <w:sz w:val="22"/>
        </w:rPr>
        <w:t xml:space="preserve"> income.</w:t>
      </w:r>
    </w:p>
    <w:p w14:paraId="5C7FD496" w14:textId="77777777" w:rsidR="00E47EEA" w:rsidRDefault="00E47EEA" w:rsidP="006A56B3">
      <w:pPr>
        <w:pStyle w:val="NoSpacing"/>
        <w:numPr>
          <w:ilvl w:val="0"/>
          <w:numId w:val="2"/>
        </w:numPr>
        <w:jc w:val="both"/>
        <w:rPr>
          <w:sz w:val="22"/>
        </w:rPr>
      </w:pPr>
      <w:r>
        <w:rPr>
          <w:sz w:val="22"/>
        </w:rPr>
        <w:t>Character of income under local law principles has no impact on its character as determined under US tax principles.</w:t>
      </w:r>
    </w:p>
    <w:p w14:paraId="2F0B7900" w14:textId="77777777" w:rsidR="00E47EEA" w:rsidRDefault="00E47EEA" w:rsidP="0092708C">
      <w:pPr>
        <w:pStyle w:val="NoSpacing"/>
        <w:jc w:val="both"/>
        <w:rPr>
          <w:sz w:val="22"/>
        </w:rPr>
      </w:pPr>
    </w:p>
    <w:p w14:paraId="662DCE2A" w14:textId="77777777" w:rsidR="00E47EEA" w:rsidRDefault="00F23B32" w:rsidP="0092708C">
      <w:pPr>
        <w:pStyle w:val="NoSpacing"/>
        <w:jc w:val="both"/>
        <w:rPr>
          <w:sz w:val="22"/>
          <w:u w:val="single"/>
        </w:rPr>
      </w:pPr>
      <w:r>
        <w:rPr>
          <w:sz w:val="22"/>
        </w:rPr>
        <w:t>B.</w:t>
      </w:r>
      <w:r>
        <w:rPr>
          <w:sz w:val="22"/>
        </w:rPr>
        <w:tab/>
      </w:r>
      <w:r w:rsidR="00E47EEA">
        <w:rPr>
          <w:sz w:val="22"/>
          <w:u w:val="single"/>
        </w:rPr>
        <w:t>The Noncitizen.</w:t>
      </w:r>
    </w:p>
    <w:p w14:paraId="3D142827" w14:textId="77777777" w:rsidR="0039071B" w:rsidRDefault="0039071B" w:rsidP="0092708C">
      <w:pPr>
        <w:pStyle w:val="NoSpacing"/>
        <w:jc w:val="both"/>
        <w:rPr>
          <w:sz w:val="22"/>
          <w:u w:val="single"/>
        </w:rPr>
      </w:pPr>
    </w:p>
    <w:p w14:paraId="066FF5AC" w14:textId="2E12581C" w:rsidR="00B735A0" w:rsidRPr="00DF231A" w:rsidRDefault="00E47EEA" w:rsidP="006A56B3">
      <w:pPr>
        <w:pStyle w:val="NoSpacing"/>
        <w:numPr>
          <w:ilvl w:val="0"/>
          <w:numId w:val="3"/>
        </w:numPr>
        <w:jc w:val="both"/>
        <w:rPr>
          <w:sz w:val="22"/>
        </w:rPr>
      </w:pPr>
      <w:r>
        <w:rPr>
          <w:sz w:val="22"/>
        </w:rPr>
        <w:t xml:space="preserve">Absent citizenship status, </w:t>
      </w:r>
      <w:r w:rsidR="00B735A0" w:rsidRPr="00B735A0">
        <w:rPr>
          <w:sz w:val="22"/>
        </w:rPr>
        <w:t xml:space="preserve">taxation of </w:t>
      </w:r>
      <w:r w:rsidR="00B735A0">
        <w:rPr>
          <w:sz w:val="22"/>
        </w:rPr>
        <w:t>the noncitizen is based upon a mixed bag of principles relating to residency, asset situs, and domicile.</w:t>
      </w:r>
    </w:p>
    <w:p w14:paraId="10306BFA" w14:textId="1D532C3A" w:rsidR="00B735A0" w:rsidRPr="00B735A0" w:rsidRDefault="00B735A0" w:rsidP="006A56B3">
      <w:pPr>
        <w:pStyle w:val="NoSpacing"/>
        <w:numPr>
          <w:ilvl w:val="0"/>
          <w:numId w:val="1"/>
        </w:numPr>
        <w:jc w:val="both"/>
        <w:rPr>
          <w:sz w:val="22"/>
        </w:rPr>
      </w:pPr>
      <w:r w:rsidRPr="00B735A0">
        <w:rPr>
          <w:sz w:val="22"/>
        </w:rPr>
        <w:t>Income Tax</w:t>
      </w:r>
      <w:r w:rsidR="00E50B8C">
        <w:rPr>
          <w:sz w:val="22"/>
        </w:rPr>
        <w:t xml:space="preserve"> </w:t>
      </w:r>
      <w:r w:rsidR="00E47EEA">
        <w:rPr>
          <w:sz w:val="22"/>
        </w:rPr>
        <w:t>–</w:t>
      </w:r>
      <w:r w:rsidR="00E50B8C">
        <w:rPr>
          <w:sz w:val="22"/>
        </w:rPr>
        <w:t xml:space="preserve"> generally</w:t>
      </w:r>
      <w:r w:rsidR="00E47EEA">
        <w:rPr>
          <w:sz w:val="22"/>
        </w:rPr>
        <w:t xml:space="preserve"> taxation hinges on </w:t>
      </w:r>
      <w:r w:rsidR="00E47EEA" w:rsidRPr="00C213F2">
        <w:rPr>
          <w:sz w:val="22"/>
          <w:u w:val="single"/>
        </w:rPr>
        <w:t>residency</w:t>
      </w:r>
      <w:r w:rsidR="00E47EEA">
        <w:rPr>
          <w:sz w:val="22"/>
        </w:rPr>
        <w:t xml:space="preserve"> status.</w:t>
      </w:r>
      <w:r w:rsidR="00F02F9D">
        <w:rPr>
          <w:rStyle w:val="FootnoteReference"/>
          <w:sz w:val="22"/>
        </w:rPr>
        <w:footnoteReference w:id="1"/>
      </w:r>
    </w:p>
    <w:p w14:paraId="2CAB1AE8" w14:textId="77777777" w:rsidR="00B735A0" w:rsidRDefault="00B735A0" w:rsidP="006A56B3">
      <w:pPr>
        <w:pStyle w:val="NoSpacing"/>
        <w:numPr>
          <w:ilvl w:val="0"/>
          <w:numId w:val="1"/>
        </w:numPr>
        <w:jc w:val="both"/>
        <w:rPr>
          <w:sz w:val="22"/>
        </w:rPr>
      </w:pPr>
      <w:r>
        <w:rPr>
          <w:sz w:val="22"/>
        </w:rPr>
        <w:t>Gift Tax</w:t>
      </w:r>
      <w:r w:rsidR="00E50B8C">
        <w:rPr>
          <w:sz w:val="22"/>
        </w:rPr>
        <w:t xml:space="preserve"> </w:t>
      </w:r>
      <w:r w:rsidR="00E47EEA">
        <w:rPr>
          <w:sz w:val="22"/>
        </w:rPr>
        <w:t>–</w:t>
      </w:r>
      <w:r w:rsidR="00E50B8C">
        <w:rPr>
          <w:sz w:val="22"/>
        </w:rPr>
        <w:t xml:space="preserve"> generally</w:t>
      </w:r>
      <w:r w:rsidR="00E47EEA">
        <w:rPr>
          <w:sz w:val="22"/>
        </w:rPr>
        <w:t xml:space="preserve"> </w:t>
      </w:r>
      <w:r w:rsidR="00C66E56">
        <w:rPr>
          <w:sz w:val="22"/>
        </w:rPr>
        <w:t xml:space="preserve">gift taxation of lifetime transfers depends upon </w:t>
      </w:r>
      <w:r w:rsidR="007C172C">
        <w:rPr>
          <w:sz w:val="22"/>
        </w:rPr>
        <w:t xml:space="preserve">the donor’s </w:t>
      </w:r>
      <w:r w:rsidR="007C172C" w:rsidRPr="007C172C">
        <w:rPr>
          <w:sz w:val="22"/>
          <w:u w:val="single"/>
        </w:rPr>
        <w:t>domicile</w:t>
      </w:r>
      <w:r w:rsidR="007C172C">
        <w:rPr>
          <w:sz w:val="22"/>
        </w:rPr>
        <w:t xml:space="preserve">, although at times </w:t>
      </w:r>
      <w:r w:rsidR="00C66E56" w:rsidRPr="007C172C">
        <w:rPr>
          <w:sz w:val="22"/>
        </w:rPr>
        <w:t>the</w:t>
      </w:r>
      <w:r w:rsidR="00C66E56">
        <w:rPr>
          <w:sz w:val="22"/>
        </w:rPr>
        <w:t xml:space="preserve"> </w:t>
      </w:r>
      <w:r w:rsidR="00C66E56" w:rsidRPr="00C213F2">
        <w:rPr>
          <w:sz w:val="22"/>
          <w:u w:val="single"/>
        </w:rPr>
        <w:t>situs</w:t>
      </w:r>
      <w:r w:rsidR="00C66E56">
        <w:rPr>
          <w:sz w:val="22"/>
        </w:rPr>
        <w:t xml:space="preserve"> of the transferred asset </w:t>
      </w:r>
      <w:r w:rsidR="007C172C">
        <w:rPr>
          <w:sz w:val="22"/>
        </w:rPr>
        <w:t xml:space="preserve">can be determinative </w:t>
      </w:r>
      <w:r w:rsidR="00C66E56">
        <w:rPr>
          <w:sz w:val="22"/>
        </w:rPr>
        <w:t>[with some exceptions]</w:t>
      </w:r>
    </w:p>
    <w:p w14:paraId="3B33FBE4" w14:textId="2B21A99E" w:rsidR="00B735A0" w:rsidRDefault="00B735A0" w:rsidP="006A56B3">
      <w:pPr>
        <w:pStyle w:val="NoSpacing"/>
        <w:numPr>
          <w:ilvl w:val="0"/>
          <w:numId w:val="1"/>
        </w:numPr>
        <w:jc w:val="both"/>
        <w:rPr>
          <w:sz w:val="22"/>
        </w:rPr>
      </w:pPr>
      <w:r>
        <w:rPr>
          <w:sz w:val="22"/>
        </w:rPr>
        <w:t>Estate and GST</w:t>
      </w:r>
      <w:r w:rsidR="00E50B8C">
        <w:rPr>
          <w:sz w:val="22"/>
        </w:rPr>
        <w:t xml:space="preserve"> – </w:t>
      </w:r>
      <w:r w:rsidR="00044597">
        <w:rPr>
          <w:sz w:val="22"/>
        </w:rPr>
        <w:t xml:space="preserve">also </w:t>
      </w:r>
      <w:r w:rsidR="00E50B8C">
        <w:rPr>
          <w:sz w:val="22"/>
        </w:rPr>
        <w:t>generally</w:t>
      </w:r>
      <w:r w:rsidR="00C66E56">
        <w:rPr>
          <w:sz w:val="22"/>
        </w:rPr>
        <w:t xml:space="preserve"> dependent upon principles of </w:t>
      </w:r>
      <w:r w:rsidR="00C66E56" w:rsidRPr="00C213F2">
        <w:rPr>
          <w:sz w:val="22"/>
          <w:u w:val="single"/>
        </w:rPr>
        <w:t>domicile</w:t>
      </w:r>
      <w:r w:rsidR="00C66E56">
        <w:rPr>
          <w:sz w:val="22"/>
        </w:rPr>
        <w:t>.</w:t>
      </w:r>
    </w:p>
    <w:p w14:paraId="545329DA" w14:textId="77777777" w:rsidR="00E50B8C" w:rsidRDefault="00E50B8C" w:rsidP="0092708C">
      <w:pPr>
        <w:pStyle w:val="NoSpacing"/>
        <w:jc w:val="both"/>
        <w:rPr>
          <w:sz w:val="22"/>
        </w:rPr>
      </w:pPr>
    </w:p>
    <w:p w14:paraId="157969BD" w14:textId="77777777" w:rsidR="00E50B8C" w:rsidRDefault="00E50B8C" w:rsidP="0092708C">
      <w:pPr>
        <w:pStyle w:val="NoSpacing"/>
        <w:jc w:val="both"/>
        <w:rPr>
          <w:sz w:val="22"/>
        </w:rPr>
      </w:pPr>
      <w:r>
        <w:rPr>
          <w:sz w:val="22"/>
        </w:rPr>
        <w:t>II</w:t>
      </w:r>
      <w:r w:rsidR="003B3BC1">
        <w:rPr>
          <w:sz w:val="22"/>
        </w:rPr>
        <w:t>. INCOME</w:t>
      </w:r>
      <w:r w:rsidR="00E33BDF">
        <w:rPr>
          <w:sz w:val="22"/>
        </w:rPr>
        <w:t xml:space="preserve"> TAX</w:t>
      </w:r>
    </w:p>
    <w:p w14:paraId="2FE0CAEB" w14:textId="77777777" w:rsidR="006D73CE" w:rsidRDefault="006D73CE" w:rsidP="0092708C">
      <w:pPr>
        <w:pStyle w:val="NoSpacing"/>
        <w:jc w:val="both"/>
        <w:rPr>
          <w:sz w:val="22"/>
        </w:rPr>
      </w:pPr>
    </w:p>
    <w:p w14:paraId="5DD561AD" w14:textId="65EC2D3A" w:rsidR="006D73CE" w:rsidRDefault="006D73CE" w:rsidP="0092708C">
      <w:pPr>
        <w:pStyle w:val="NoSpacing"/>
        <w:jc w:val="both"/>
        <w:rPr>
          <w:sz w:val="22"/>
        </w:rPr>
      </w:pPr>
      <w:r>
        <w:rPr>
          <w:sz w:val="22"/>
        </w:rPr>
        <w:t>A.</w:t>
      </w:r>
      <w:r>
        <w:rPr>
          <w:sz w:val="22"/>
        </w:rPr>
        <w:tab/>
      </w:r>
      <w:r>
        <w:rPr>
          <w:sz w:val="22"/>
          <w:u w:val="single"/>
        </w:rPr>
        <w:t>General Rule of Taxation</w:t>
      </w:r>
      <w:r>
        <w:rPr>
          <w:sz w:val="22"/>
        </w:rPr>
        <w:t xml:space="preserve">.  Nonresidents are subject to a flat </w:t>
      </w:r>
      <w:r w:rsidR="00935D75">
        <w:rPr>
          <w:sz w:val="22"/>
        </w:rPr>
        <w:t xml:space="preserve">withholding </w:t>
      </w:r>
      <w:r>
        <w:rPr>
          <w:sz w:val="22"/>
        </w:rPr>
        <w:t>tax of 30% on fixed or determinable periodic (“FDAP”) income derived from U.S. sources not connected with a U.S. business.</w:t>
      </w:r>
    </w:p>
    <w:p w14:paraId="7AA664F0" w14:textId="77777777" w:rsidR="006D73CE" w:rsidRDefault="006D73CE" w:rsidP="0092708C">
      <w:pPr>
        <w:pStyle w:val="NoSpacing"/>
        <w:jc w:val="both"/>
        <w:rPr>
          <w:sz w:val="22"/>
        </w:rPr>
      </w:pPr>
    </w:p>
    <w:p w14:paraId="5C7B543B" w14:textId="096BC164" w:rsidR="006D73CE" w:rsidRDefault="006D73CE" w:rsidP="006D73CE">
      <w:pPr>
        <w:pStyle w:val="NoSpacing"/>
        <w:numPr>
          <w:ilvl w:val="0"/>
          <w:numId w:val="35"/>
        </w:numPr>
        <w:jc w:val="both"/>
        <w:rPr>
          <w:sz w:val="22"/>
        </w:rPr>
      </w:pPr>
      <w:r>
        <w:rPr>
          <w:b/>
          <w:sz w:val="22"/>
        </w:rPr>
        <w:t>FDAP</w:t>
      </w:r>
      <w:r>
        <w:rPr>
          <w:sz w:val="22"/>
        </w:rPr>
        <w:t>.  The Code defines FDAP as “interest [other than OID]</w:t>
      </w:r>
      <w:r w:rsidR="00935D75">
        <w:rPr>
          <w:sz w:val="22"/>
        </w:rPr>
        <w:t xml:space="preserve">, dividends, rents, salaries, wages, premiums, annuities, compensations, remunerations, emoluments, and other fixed or determinable annual or periodical gains, profits, and income . . ..”  </w:t>
      </w:r>
      <w:r w:rsidR="00935D75">
        <w:rPr>
          <w:rFonts w:cs="Times New Roman"/>
          <w:sz w:val="22"/>
        </w:rPr>
        <w:t>§</w:t>
      </w:r>
      <w:r w:rsidR="00935D75">
        <w:rPr>
          <w:sz w:val="22"/>
        </w:rPr>
        <w:t>871(a)(1)(A).</w:t>
      </w:r>
      <w:r w:rsidR="00F02F9D">
        <w:rPr>
          <w:rStyle w:val="FootnoteReference"/>
          <w:sz w:val="22"/>
        </w:rPr>
        <w:footnoteReference w:id="2"/>
      </w:r>
    </w:p>
    <w:p w14:paraId="47076DB2" w14:textId="77777777" w:rsidR="00935D75" w:rsidRDefault="00935D75" w:rsidP="00935D75">
      <w:pPr>
        <w:pStyle w:val="NoSpacing"/>
        <w:jc w:val="both"/>
        <w:rPr>
          <w:sz w:val="22"/>
        </w:rPr>
      </w:pPr>
    </w:p>
    <w:p w14:paraId="69208FDF" w14:textId="6E4B9CC8" w:rsidR="00935D75" w:rsidRDefault="00935D75" w:rsidP="00935D75">
      <w:pPr>
        <w:pStyle w:val="NoSpacing"/>
        <w:numPr>
          <w:ilvl w:val="0"/>
          <w:numId w:val="35"/>
        </w:numPr>
        <w:jc w:val="both"/>
        <w:rPr>
          <w:sz w:val="22"/>
        </w:rPr>
      </w:pPr>
      <w:r>
        <w:rPr>
          <w:b/>
          <w:sz w:val="22"/>
        </w:rPr>
        <w:t>Exemptions</w:t>
      </w:r>
      <w:r>
        <w:rPr>
          <w:sz w:val="22"/>
        </w:rPr>
        <w:t>.  The Code exempts</w:t>
      </w:r>
      <w:r w:rsidR="00763854">
        <w:rPr>
          <w:sz w:val="22"/>
        </w:rPr>
        <w:t xml:space="preserve"> from tax</w:t>
      </w:r>
      <w:r>
        <w:rPr>
          <w:sz w:val="22"/>
        </w:rPr>
        <w:t xml:space="preserve"> “portfolio interest,” dividends and interest derived from deposits in U.S. banks and S&amp;Ls.</w:t>
      </w:r>
    </w:p>
    <w:p w14:paraId="188256C1" w14:textId="77777777" w:rsidR="006A435E" w:rsidRDefault="006A435E" w:rsidP="006A435E">
      <w:pPr>
        <w:pStyle w:val="NoSpacing"/>
        <w:ind w:left="720"/>
        <w:jc w:val="both"/>
        <w:rPr>
          <w:sz w:val="22"/>
        </w:rPr>
      </w:pPr>
    </w:p>
    <w:p w14:paraId="417DC72F" w14:textId="54DC0A42" w:rsidR="00935D75" w:rsidRPr="000C7CD9" w:rsidRDefault="00935D75" w:rsidP="00935D75">
      <w:pPr>
        <w:pStyle w:val="NoSpacing"/>
        <w:numPr>
          <w:ilvl w:val="0"/>
          <w:numId w:val="35"/>
        </w:numPr>
        <w:jc w:val="both"/>
        <w:rPr>
          <w:b/>
          <w:sz w:val="22"/>
        </w:rPr>
      </w:pPr>
      <w:r w:rsidRPr="00935D75">
        <w:rPr>
          <w:b/>
          <w:sz w:val="22"/>
        </w:rPr>
        <w:t xml:space="preserve">Capital </w:t>
      </w:r>
      <w:r>
        <w:rPr>
          <w:b/>
          <w:sz w:val="22"/>
        </w:rPr>
        <w:t>Gain Special Rule</w:t>
      </w:r>
      <w:r>
        <w:rPr>
          <w:sz w:val="22"/>
        </w:rPr>
        <w:t xml:space="preserve">.  </w:t>
      </w:r>
      <w:r w:rsidR="006A435E">
        <w:rPr>
          <w:sz w:val="22"/>
        </w:rPr>
        <w:t xml:space="preserve">As a general rule, the nonresident is not subject to taxation on U.S. source capital gains.  However, the nonresident will be subject to the 30% tax if he/she is present in the U.S. for more than 183 days during the taxable year in which the gain is realized.  </w:t>
      </w:r>
      <w:r w:rsidR="006A435E">
        <w:rPr>
          <w:rFonts w:cs="Times New Roman"/>
          <w:sz w:val="22"/>
        </w:rPr>
        <w:t>§</w:t>
      </w:r>
      <w:r w:rsidR="006A435E">
        <w:rPr>
          <w:sz w:val="22"/>
        </w:rPr>
        <w:t>871(a)(2).</w:t>
      </w:r>
    </w:p>
    <w:p w14:paraId="38A46230" w14:textId="77777777" w:rsidR="000C7CD9" w:rsidRPr="006A435E" w:rsidRDefault="000C7CD9" w:rsidP="000C7CD9">
      <w:pPr>
        <w:pStyle w:val="NoSpacing"/>
        <w:ind w:left="720"/>
        <w:jc w:val="both"/>
        <w:rPr>
          <w:b/>
          <w:sz w:val="22"/>
        </w:rPr>
      </w:pPr>
    </w:p>
    <w:p w14:paraId="47960833" w14:textId="4574D2C3" w:rsidR="006A435E" w:rsidRPr="00935D75" w:rsidRDefault="006A435E" w:rsidP="00935D75">
      <w:pPr>
        <w:pStyle w:val="NoSpacing"/>
        <w:numPr>
          <w:ilvl w:val="0"/>
          <w:numId w:val="35"/>
        </w:numPr>
        <w:jc w:val="both"/>
        <w:rPr>
          <w:b/>
          <w:sz w:val="22"/>
        </w:rPr>
      </w:pPr>
      <w:r>
        <w:rPr>
          <w:b/>
          <w:sz w:val="22"/>
        </w:rPr>
        <w:t>FIRPTA Override</w:t>
      </w:r>
      <w:r>
        <w:rPr>
          <w:sz w:val="22"/>
        </w:rPr>
        <w:t xml:space="preserve">.  </w:t>
      </w:r>
      <w:r w:rsidR="0039071B">
        <w:rPr>
          <w:sz w:val="22"/>
        </w:rPr>
        <w:t xml:space="preserve">The Foreign Investment in Real Property Tax Act (“FIRPTA”) overrides the provisions of </w:t>
      </w:r>
      <w:r w:rsidR="0039071B">
        <w:rPr>
          <w:rFonts w:cs="Times New Roman"/>
          <w:sz w:val="22"/>
        </w:rPr>
        <w:t>§</w:t>
      </w:r>
      <w:r w:rsidR="0039071B">
        <w:rPr>
          <w:sz w:val="22"/>
        </w:rPr>
        <w:t xml:space="preserve">871 and taxes nonresidents on realized gain from the disposition of an interest in </w:t>
      </w:r>
      <w:r w:rsidR="0039071B">
        <w:rPr>
          <w:sz w:val="22"/>
        </w:rPr>
        <w:lastRenderedPageBreak/>
        <w:t xml:space="preserve">real property.  </w:t>
      </w:r>
      <w:r w:rsidR="0039071B">
        <w:rPr>
          <w:rFonts w:cs="Times New Roman"/>
          <w:sz w:val="22"/>
        </w:rPr>
        <w:t>§</w:t>
      </w:r>
      <w:r w:rsidR="0039071B">
        <w:rPr>
          <w:sz w:val="22"/>
        </w:rPr>
        <w:t xml:space="preserve">897.  The gain is taxed as if effectively connected with the conduct of a U.S. trade or business and therefore subject to normal income tax </w:t>
      </w:r>
      <w:r w:rsidR="00044597">
        <w:rPr>
          <w:sz w:val="22"/>
        </w:rPr>
        <w:t xml:space="preserve">deductions and tax </w:t>
      </w:r>
      <w:r w:rsidR="0039071B">
        <w:rPr>
          <w:sz w:val="22"/>
        </w:rPr>
        <w:t>rates.</w:t>
      </w:r>
    </w:p>
    <w:p w14:paraId="6DDA2D75" w14:textId="77777777" w:rsidR="00C213F2" w:rsidRDefault="00C213F2" w:rsidP="0092708C">
      <w:pPr>
        <w:pStyle w:val="NoSpacing"/>
        <w:jc w:val="both"/>
        <w:rPr>
          <w:sz w:val="22"/>
        </w:rPr>
      </w:pPr>
    </w:p>
    <w:p w14:paraId="660ECB60" w14:textId="65CA86E3" w:rsidR="00C213F2" w:rsidRDefault="0039071B" w:rsidP="0092708C">
      <w:pPr>
        <w:pStyle w:val="NoSpacing"/>
        <w:jc w:val="both"/>
        <w:rPr>
          <w:sz w:val="22"/>
        </w:rPr>
      </w:pPr>
      <w:r>
        <w:rPr>
          <w:sz w:val="22"/>
        </w:rPr>
        <w:t>B</w:t>
      </w:r>
      <w:r w:rsidR="00F23B32">
        <w:rPr>
          <w:sz w:val="22"/>
        </w:rPr>
        <w:t>.</w:t>
      </w:r>
      <w:r w:rsidR="00F23B32">
        <w:rPr>
          <w:sz w:val="22"/>
        </w:rPr>
        <w:tab/>
      </w:r>
      <w:r w:rsidR="00C213F2">
        <w:rPr>
          <w:sz w:val="22"/>
          <w:u w:val="single"/>
        </w:rPr>
        <w:t>U.S.</w:t>
      </w:r>
      <w:r w:rsidR="00E33BDF">
        <w:rPr>
          <w:sz w:val="22"/>
          <w:u w:val="single"/>
        </w:rPr>
        <w:t xml:space="preserve"> </w:t>
      </w:r>
      <w:r w:rsidR="00C213F2">
        <w:rPr>
          <w:sz w:val="22"/>
          <w:u w:val="single"/>
        </w:rPr>
        <w:t>Tax Residenc</w:t>
      </w:r>
      <w:r w:rsidR="00E33BDF">
        <w:rPr>
          <w:sz w:val="22"/>
          <w:u w:val="single"/>
        </w:rPr>
        <w:t>y</w:t>
      </w:r>
      <w:r w:rsidR="00C213F2">
        <w:rPr>
          <w:sz w:val="22"/>
        </w:rPr>
        <w:t xml:space="preserve">.  Code defines resident </w:t>
      </w:r>
      <w:r w:rsidR="001724FD">
        <w:rPr>
          <w:sz w:val="22"/>
        </w:rPr>
        <w:t xml:space="preserve">individual </w:t>
      </w:r>
      <w:r w:rsidR="007A5FAA" w:rsidRPr="00763854">
        <w:rPr>
          <w:sz w:val="22"/>
          <w:u w:val="single"/>
        </w:rPr>
        <w:t>with respect to any calendar year</w:t>
      </w:r>
      <w:r w:rsidR="007A5FAA">
        <w:rPr>
          <w:sz w:val="22"/>
        </w:rPr>
        <w:t xml:space="preserve"> </w:t>
      </w:r>
      <w:r w:rsidR="00C213F2">
        <w:rPr>
          <w:sz w:val="22"/>
        </w:rPr>
        <w:t xml:space="preserve">as (i) lawful permanent resident, or (ii) </w:t>
      </w:r>
      <w:r w:rsidR="00763854">
        <w:rPr>
          <w:sz w:val="22"/>
        </w:rPr>
        <w:t xml:space="preserve">an </w:t>
      </w:r>
      <w:r w:rsidR="00C213F2">
        <w:rPr>
          <w:sz w:val="22"/>
        </w:rPr>
        <w:t xml:space="preserve">alien who satisfies </w:t>
      </w:r>
      <w:r w:rsidR="007A5FAA">
        <w:rPr>
          <w:sz w:val="22"/>
        </w:rPr>
        <w:t xml:space="preserve">the </w:t>
      </w:r>
      <w:r w:rsidR="00C213F2">
        <w:rPr>
          <w:sz w:val="22"/>
        </w:rPr>
        <w:t xml:space="preserve">“substantial presence test.”   </w:t>
      </w:r>
      <w:r w:rsidR="00C213F2">
        <w:rPr>
          <w:rFonts w:cs="Times New Roman"/>
          <w:sz w:val="22"/>
        </w:rPr>
        <w:t>§</w:t>
      </w:r>
      <w:r w:rsidR="006F1068">
        <w:rPr>
          <w:sz w:val="22"/>
        </w:rPr>
        <w:t>7701(b)(1)</w:t>
      </w:r>
    </w:p>
    <w:p w14:paraId="609D150A" w14:textId="77777777" w:rsidR="006F1068" w:rsidRDefault="006F1068" w:rsidP="0092708C">
      <w:pPr>
        <w:pStyle w:val="NoSpacing"/>
        <w:jc w:val="both"/>
        <w:rPr>
          <w:sz w:val="22"/>
        </w:rPr>
      </w:pPr>
    </w:p>
    <w:p w14:paraId="053D0172" w14:textId="5BC7D536" w:rsidR="006F1068" w:rsidRDefault="006F1068" w:rsidP="006A56B3">
      <w:pPr>
        <w:pStyle w:val="NoSpacing"/>
        <w:numPr>
          <w:ilvl w:val="0"/>
          <w:numId w:val="4"/>
        </w:numPr>
        <w:jc w:val="both"/>
        <w:rPr>
          <w:sz w:val="22"/>
        </w:rPr>
      </w:pPr>
      <w:r w:rsidRPr="006871EF">
        <w:rPr>
          <w:b/>
          <w:i/>
          <w:sz w:val="22"/>
        </w:rPr>
        <w:t xml:space="preserve">Lawful </w:t>
      </w:r>
      <w:r w:rsidR="0092708C" w:rsidRPr="006871EF">
        <w:rPr>
          <w:b/>
          <w:i/>
          <w:sz w:val="22"/>
        </w:rPr>
        <w:t>P</w:t>
      </w:r>
      <w:r w:rsidRPr="006871EF">
        <w:rPr>
          <w:b/>
          <w:i/>
          <w:sz w:val="22"/>
        </w:rPr>
        <w:t xml:space="preserve">ermanent </w:t>
      </w:r>
      <w:r w:rsidR="0092708C" w:rsidRPr="006871EF">
        <w:rPr>
          <w:b/>
          <w:i/>
          <w:sz w:val="22"/>
        </w:rPr>
        <w:t>R</w:t>
      </w:r>
      <w:r w:rsidRPr="006871EF">
        <w:rPr>
          <w:b/>
          <w:i/>
          <w:sz w:val="22"/>
        </w:rPr>
        <w:t>esident</w:t>
      </w:r>
      <w:r>
        <w:rPr>
          <w:sz w:val="22"/>
        </w:rPr>
        <w:t>:  “</w:t>
      </w:r>
      <w:r w:rsidR="00763854">
        <w:rPr>
          <w:sz w:val="22"/>
        </w:rPr>
        <w:t>G</w:t>
      </w:r>
      <w:r>
        <w:rPr>
          <w:sz w:val="22"/>
        </w:rPr>
        <w:t>reen card test” hinges upon immigration status and not time spent in U</w:t>
      </w:r>
      <w:r w:rsidR="0092708C">
        <w:rPr>
          <w:sz w:val="22"/>
        </w:rPr>
        <w:t>.</w:t>
      </w:r>
      <w:r>
        <w:rPr>
          <w:sz w:val="22"/>
        </w:rPr>
        <w:t>S.</w:t>
      </w:r>
    </w:p>
    <w:p w14:paraId="106D199B" w14:textId="77777777" w:rsidR="00F23B32" w:rsidRDefault="00F23B32" w:rsidP="00F23B32">
      <w:pPr>
        <w:pStyle w:val="NoSpacing"/>
        <w:ind w:left="720"/>
        <w:jc w:val="both"/>
        <w:rPr>
          <w:sz w:val="22"/>
        </w:rPr>
      </w:pPr>
    </w:p>
    <w:p w14:paraId="447C02B6" w14:textId="30D5E6DB" w:rsidR="00F23B32" w:rsidRPr="00F23B32" w:rsidRDefault="006F1068" w:rsidP="006A56B3">
      <w:pPr>
        <w:pStyle w:val="NoSpacing"/>
        <w:numPr>
          <w:ilvl w:val="0"/>
          <w:numId w:val="4"/>
        </w:numPr>
        <w:jc w:val="both"/>
        <w:rPr>
          <w:sz w:val="22"/>
        </w:rPr>
      </w:pPr>
      <w:r>
        <w:rPr>
          <w:sz w:val="22"/>
        </w:rPr>
        <w:t>“</w:t>
      </w:r>
      <w:r w:rsidRPr="006871EF">
        <w:rPr>
          <w:b/>
          <w:i/>
          <w:sz w:val="22"/>
        </w:rPr>
        <w:t>Substantial Presence</w:t>
      </w:r>
      <w:r>
        <w:rPr>
          <w:sz w:val="22"/>
        </w:rPr>
        <w:t xml:space="preserve">”:  </w:t>
      </w:r>
      <w:r w:rsidR="00763854">
        <w:rPr>
          <w:sz w:val="22"/>
        </w:rPr>
        <w:t>T</w:t>
      </w:r>
      <w:r w:rsidR="00F23B32">
        <w:rPr>
          <w:sz w:val="22"/>
        </w:rPr>
        <w:t xml:space="preserve">ested annually.  Threshold inquiry is whether the individual is present </w:t>
      </w:r>
      <w:r>
        <w:rPr>
          <w:sz w:val="22"/>
        </w:rPr>
        <w:t>31 days in current year</w:t>
      </w:r>
      <w:r w:rsidR="00F23B32">
        <w:rPr>
          <w:sz w:val="22"/>
        </w:rPr>
        <w:t>.  Then, t</w:t>
      </w:r>
      <w:r w:rsidR="00CA52AD">
        <w:rPr>
          <w:sz w:val="22"/>
        </w:rPr>
        <w:t xml:space="preserve">he sum of </w:t>
      </w:r>
      <w:r>
        <w:rPr>
          <w:sz w:val="22"/>
        </w:rPr>
        <w:t xml:space="preserve">those days + days in two preceding years = 183.  </w:t>
      </w:r>
      <w:r w:rsidR="00A969DB">
        <w:rPr>
          <w:sz w:val="22"/>
        </w:rPr>
        <w:t xml:space="preserve">These 3 years are subjected to weighted multiplier formula.  </w:t>
      </w:r>
      <w:r w:rsidR="00A969DB">
        <w:rPr>
          <w:rFonts w:cs="Times New Roman"/>
          <w:sz w:val="22"/>
        </w:rPr>
        <w:t>§</w:t>
      </w:r>
      <w:r w:rsidR="00A969DB">
        <w:rPr>
          <w:sz w:val="22"/>
        </w:rPr>
        <w:t>7701(b)(2)</w:t>
      </w:r>
      <w:r w:rsidR="00F23B32">
        <w:rPr>
          <w:sz w:val="22"/>
        </w:rPr>
        <w:t>.</w:t>
      </w:r>
    </w:p>
    <w:p w14:paraId="6480CAD2" w14:textId="77777777" w:rsidR="00F23B32" w:rsidRDefault="00F23B32" w:rsidP="00F23B32">
      <w:pPr>
        <w:pStyle w:val="NoSpacing"/>
        <w:ind w:left="360"/>
        <w:jc w:val="both"/>
        <w:rPr>
          <w:sz w:val="22"/>
        </w:rPr>
      </w:pPr>
    </w:p>
    <w:p w14:paraId="3BF1B7CD" w14:textId="77777777" w:rsidR="00A969DB" w:rsidRDefault="00A969DB" w:rsidP="006A56B3">
      <w:pPr>
        <w:pStyle w:val="NoSpacing"/>
        <w:numPr>
          <w:ilvl w:val="0"/>
          <w:numId w:val="17"/>
        </w:numPr>
        <w:jc w:val="both"/>
        <w:rPr>
          <w:sz w:val="22"/>
        </w:rPr>
      </w:pPr>
      <w:r>
        <w:rPr>
          <w:sz w:val="22"/>
        </w:rPr>
        <w:t>Current year: 1.0</w:t>
      </w:r>
    </w:p>
    <w:p w14:paraId="43250153" w14:textId="77777777" w:rsidR="00A969DB" w:rsidRDefault="00A969DB" w:rsidP="006A56B3">
      <w:pPr>
        <w:pStyle w:val="NoSpacing"/>
        <w:numPr>
          <w:ilvl w:val="0"/>
          <w:numId w:val="17"/>
        </w:numPr>
        <w:jc w:val="both"/>
        <w:rPr>
          <w:sz w:val="22"/>
        </w:rPr>
      </w:pPr>
      <w:r>
        <w:rPr>
          <w:sz w:val="22"/>
        </w:rPr>
        <w:t>Immediate preceding year:  1/3</w:t>
      </w:r>
    </w:p>
    <w:p w14:paraId="7DB09C6C" w14:textId="77777777" w:rsidR="00F23B32" w:rsidRDefault="00A969DB" w:rsidP="006A56B3">
      <w:pPr>
        <w:pStyle w:val="NoSpacing"/>
        <w:numPr>
          <w:ilvl w:val="0"/>
          <w:numId w:val="17"/>
        </w:numPr>
        <w:jc w:val="both"/>
        <w:rPr>
          <w:sz w:val="22"/>
        </w:rPr>
      </w:pPr>
      <w:r>
        <w:rPr>
          <w:sz w:val="22"/>
        </w:rPr>
        <w:t xml:space="preserve">Second preceding year:  1/6 </w:t>
      </w:r>
    </w:p>
    <w:p w14:paraId="35A9C361" w14:textId="77777777" w:rsidR="00A24BE6" w:rsidRDefault="00A24BE6" w:rsidP="008F5FC2">
      <w:pPr>
        <w:pStyle w:val="NoSpacing"/>
        <w:ind w:left="1080"/>
        <w:jc w:val="both"/>
        <w:rPr>
          <w:sz w:val="22"/>
        </w:rPr>
      </w:pPr>
    </w:p>
    <w:p w14:paraId="71250E7D" w14:textId="0D2F8066" w:rsidR="00A24BE6" w:rsidRDefault="008F5FC2" w:rsidP="00A24BE6">
      <w:pPr>
        <w:pStyle w:val="NoSpacing"/>
        <w:jc w:val="both"/>
        <w:rPr>
          <w:sz w:val="22"/>
        </w:rPr>
      </w:pPr>
      <w:r>
        <w:rPr>
          <w:sz w:val="22"/>
        </w:rPr>
        <w:tab/>
      </w:r>
      <w:r w:rsidR="00A969DB">
        <w:rPr>
          <w:sz w:val="22"/>
        </w:rPr>
        <w:t xml:space="preserve"> </w:t>
      </w:r>
      <w:r w:rsidR="00A24BE6" w:rsidRPr="007A5FAA">
        <w:rPr>
          <w:sz w:val="22"/>
          <w:u w:val="single"/>
        </w:rPr>
        <w:t>Note</w:t>
      </w:r>
      <w:r w:rsidR="00A24BE6">
        <w:rPr>
          <w:sz w:val="22"/>
        </w:rPr>
        <w:t>. G</w:t>
      </w:r>
      <w:r w:rsidR="00A24BE6" w:rsidRPr="007A5FAA">
        <w:rPr>
          <w:sz w:val="22"/>
        </w:rPr>
        <w:t>enerally</w:t>
      </w:r>
      <w:r w:rsidR="00A24BE6">
        <w:rPr>
          <w:sz w:val="22"/>
        </w:rPr>
        <w:t>, presence in the U.S. for 122 days/year meets substantial presence test.</w:t>
      </w:r>
    </w:p>
    <w:p w14:paraId="7B6DE22D" w14:textId="77777777" w:rsidR="00A969DB" w:rsidRDefault="00A969DB" w:rsidP="00F23B32">
      <w:pPr>
        <w:pStyle w:val="NoSpacing"/>
        <w:ind w:left="1080"/>
        <w:jc w:val="both"/>
        <w:rPr>
          <w:sz w:val="22"/>
        </w:rPr>
      </w:pPr>
    </w:p>
    <w:p w14:paraId="472F80CC" w14:textId="725D8A17" w:rsidR="00367A7D" w:rsidRDefault="00A969DB" w:rsidP="008F5FC2">
      <w:pPr>
        <w:pStyle w:val="NoSpacing"/>
        <w:ind w:left="810"/>
        <w:jc w:val="both"/>
        <w:rPr>
          <w:sz w:val="22"/>
        </w:rPr>
      </w:pPr>
      <w:r>
        <w:rPr>
          <w:sz w:val="22"/>
        </w:rPr>
        <w:tab/>
      </w:r>
      <w:r>
        <w:rPr>
          <w:sz w:val="22"/>
        </w:rPr>
        <w:tab/>
      </w:r>
      <w:r>
        <w:rPr>
          <w:sz w:val="22"/>
          <w:u w:val="single"/>
        </w:rPr>
        <w:t>Example</w:t>
      </w:r>
      <w:r w:rsidR="00E26CF0">
        <w:rPr>
          <w:sz w:val="22"/>
          <w:u w:val="single"/>
        </w:rPr>
        <w:t xml:space="preserve"> #1</w:t>
      </w:r>
      <w:r w:rsidR="007A5FAA">
        <w:rPr>
          <w:sz w:val="22"/>
        </w:rPr>
        <w:t xml:space="preserve">:  </w:t>
      </w:r>
      <w:r w:rsidR="008040B4">
        <w:rPr>
          <w:sz w:val="22"/>
        </w:rPr>
        <w:t xml:space="preserve">Underwood was present in U.S. for 122 days in 2016.  He was also here for 122 days in each of 2015 and 2014.  He meets the substantial presence test for 2016 and must report his worldwide income (absent a Treaty override).  2016 at 122 days, plus 2015 days of 40 2/3 (122 x 1/3), plus 2014 days of 20 1/3 (122 x 1/6) = 183 days.  </w:t>
      </w:r>
      <w:r w:rsidR="008040B4">
        <w:rPr>
          <w:i/>
          <w:sz w:val="22"/>
        </w:rPr>
        <w:t xml:space="preserve">Regs. </w:t>
      </w:r>
      <w:r w:rsidR="008040B4">
        <w:rPr>
          <w:rFonts w:cs="Times New Roman"/>
          <w:i/>
          <w:sz w:val="22"/>
        </w:rPr>
        <w:t>§</w:t>
      </w:r>
      <w:r w:rsidR="00A24BE6">
        <w:rPr>
          <w:i/>
          <w:sz w:val="22"/>
        </w:rPr>
        <w:t xml:space="preserve"> 301.7701(b)-1(e).</w:t>
      </w:r>
    </w:p>
    <w:p w14:paraId="633708D7" w14:textId="74CE52C9" w:rsidR="00367A7D" w:rsidRDefault="00E26CF0" w:rsidP="00A24BE6">
      <w:pPr>
        <w:pStyle w:val="NoSpacing"/>
        <w:jc w:val="both"/>
        <w:rPr>
          <w:sz w:val="22"/>
        </w:rPr>
      </w:pPr>
      <w:r>
        <w:rPr>
          <w:sz w:val="22"/>
        </w:rPr>
        <w:tab/>
      </w:r>
      <w:r>
        <w:rPr>
          <w:sz w:val="22"/>
        </w:rPr>
        <w:tab/>
      </w:r>
    </w:p>
    <w:p w14:paraId="2A4ADF09" w14:textId="745A7ED3" w:rsidR="00A24BE6" w:rsidRDefault="008F5FC2" w:rsidP="00A24BE6">
      <w:pPr>
        <w:pStyle w:val="NoSpacing"/>
        <w:jc w:val="both"/>
        <w:rPr>
          <w:sz w:val="22"/>
        </w:rPr>
      </w:pPr>
      <w:r>
        <w:rPr>
          <w:sz w:val="22"/>
        </w:rPr>
        <w:tab/>
      </w:r>
      <w:r w:rsidR="00A24BE6">
        <w:rPr>
          <w:sz w:val="22"/>
          <w:u w:val="single"/>
        </w:rPr>
        <w:t>Note</w:t>
      </w:r>
      <w:r w:rsidR="00A24BE6">
        <w:rPr>
          <w:sz w:val="22"/>
        </w:rPr>
        <w:t>.  Beware the unwary tourist.</w:t>
      </w:r>
    </w:p>
    <w:p w14:paraId="117621B2" w14:textId="77777777" w:rsidR="00A24BE6" w:rsidRPr="00A24BE6" w:rsidRDefault="00A24BE6" w:rsidP="00A24BE6">
      <w:pPr>
        <w:pStyle w:val="NoSpacing"/>
        <w:jc w:val="both"/>
        <w:rPr>
          <w:sz w:val="22"/>
        </w:rPr>
      </w:pPr>
    </w:p>
    <w:p w14:paraId="16063B31" w14:textId="77777777" w:rsidR="00032CE8" w:rsidRDefault="008F5FC2" w:rsidP="00032CE8">
      <w:pPr>
        <w:pStyle w:val="NoSpacing"/>
        <w:ind w:left="720"/>
        <w:jc w:val="both"/>
        <w:rPr>
          <w:sz w:val="22"/>
        </w:rPr>
      </w:pPr>
      <w:r>
        <w:rPr>
          <w:sz w:val="22"/>
        </w:rPr>
        <w:tab/>
      </w:r>
      <w:r w:rsidR="00E26CF0">
        <w:rPr>
          <w:sz w:val="22"/>
        </w:rPr>
        <w:tab/>
      </w:r>
      <w:r w:rsidR="00E26CF0">
        <w:rPr>
          <w:sz w:val="22"/>
          <w:u w:val="single"/>
        </w:rPr>
        <w:t>Example #2</w:t>
      </w:r>
      <w:r w:rsidR="00E26CF0" w:rsidRPr="007A5FAA">
        <w:rPr>
          <w:sz w:val="22"/>
        </w:rPr>
        <w:t>:</w:t>
      </w:r>
      <w:r w:rsidR="007A5FAA">
        <w:rPr>
          <w:sz w:val="22"/>
        </w:rPr>
        <w:t xml:space="preserve">  </w:t>
      </w:r>
      <w:r w:rsidR="00A24BE6">
        <w:rPr>
          <w:sz w:val="22"/>
        </w:rPr>
        <w:t xml:space="preserve">In 2015, Oakley vacations in U.S. </w:t>
      </w:r>
      <w:r>
        <w:rPr>
          <w:sz w:val="22"/>
        </w:rPr>
        <w:t>during</w:t>
      </w:r>
      <w:r w:rsidR="00A24BE6">
        <w:rPr>
          <w:sz w:val="22"/>
        </w:rPr>
        <w:t xml:space="preserve"> Jan. (31 days), Feb. (28 days), Mar. (31 days), July (31 days), Aug. (31 days) and Sept. (30 days).  Oakley does not meet substantial presence test in 2015 because present only 182 days.  However, if he spent the same period of time in 2016, </w:t>
      </w:r>
      <w:r>
        <w:rPr>
          <w:sz w:val="22"/>
        </w:rPr>
        <w:t>a leap year, he would meet the test.</w:t>
      </w:r>
    </w:p>
    <w:p w14:paraId="5E026A7B" w14:textId="77777777" w:rsidR="00032CE8" w:rsidRDefault="00032CE8" w:rsidP="00032CE8">
      <w:pPr>
        <w:pStyle w:val="NoSpacing"/>
        <w:ind w:left="720"/>
        <w:jc w:val="both"/>
        <w:rPr>
          <w:sz w:val="22"/>
        </w:rPr>
      </w:pPr>
    </w:p>
    <w:p w14:paraId="22C398C1" w14:textId="4E40D606" w:rsidR="00367A7D" w:rsidRDefault="00032CE8" w:rsidP="00032CE8">
      <w:pPr>
        <w:pStyle w:val="NoSpacing"/>
        <w:numPr>
          <w:ilvl w:val="0"/>
          <w:numId w:val="41"/>
        </w:numPr>
        <w:jc w:val="both"/>
        <w:rPr>
          <w:sz w:val="22"/>
        </w:rPr>
      </w:pPr>
      <w:r w:rsidRPr="00032CE8">
        <w:rPr>
          <w:sz w:val="22"/>
          <w:u w:val="single"/>
        </w:rPr>
        <w:t>Excluded Days</w:t>
      </w:r>
      <w:r>
        <w:rPr>
          <w:sz w:val="22"/>
          <w:u w:val="single"/>
        </w:rPr>
        <w:t xml:space="preserve"> for Substantial Presence</w:t>
      </w:r>
    </w:p>
    <w:p w14:paraId="285F72DB" w14:textId="77777777" w:rsidR="00032CE8" w:rsidRDefault="00032CE8" w:rsidP="00032CE8">
      <w:pPr>
        <w:pStyle w:val="NoSpacing"/>
        <w:jc w:val="both"/>
        <w:rPr>
          <w:sz w:val="22"/>
        </w:rPr>
      </w:pPr>
    </w:p>
    <w:p w14:paraId="70C60AC1" w14:textId="4DFE2C22" w:rsidR="00032CE8" w:rsidRDefault="00032CE8" w:rsidP="00032CE8">
      <w:pPr>
        <w:pStyle w:val="NoSpacing"/>
        <w:ind w:left="1440"/>
        <w:jc w:val="both"/>
        <w:rPr>
          <w:sz w:val="22"/>
        </w:rPr>
      </w:pPr>
      <w:r>
        <w:rPr>
          <w:i/>
          <w:sz w:val="22"/>
        </w:rPr>
        <w:t>Foreign Government-Related Individuals</w:t>
      </w:r>
      <w:r>
        <w:rPr>
          <w:sz w:val="22"/>
        </w:rPr>
        <w:t xml:space="preserve"> – generally A and G-4 visa holders.</w:t>
      </w:r>
    </w:p>
    <w:p w14:paraId="44BE7773" w14:textId="77777777" w:rsidR="00032CE8" w:rsidRDefault="00032CE8" w:rsidP="00032CE8">
      <w:pPr>
        <w:pStyle w:val="NoSpacing"/>
        <w:ind w:left="1440"/>
        <w:jc w:val="both"/>
        <w:rPr>
          <w:sz w:val="22"/>
        </w:rPr>
      </w:pPr>
    </w:p>
    <w:p w14:paraId="451EE9DA" w14:textId="3ED3BDE8" w:rsidR="00032CE8" w:rsidRDefault="00032CE8" w:rsidP="00032CE8">
      <w:pPr>
        <w:pStyle w:val="NoSpacing"/>
        <w:ind w:left="1440"/>
        <w:jc w:val="both"/>
        <w:rPr>
          <w:sz w:val="22"/>
        </w:rPr>
      </w:pPr>
      <w:r>
        <w:rPr>
          <w:i/>
          <w:sz w:val="22"/>
        </w:rPr>
        <w:t>Teacher or Trainee</w:t>
      </w:r>
      <w:r>
        <w:rPr>
          <w:sz w:val="22"/>
        </w:rPr>
        <w:t xml:space="preserve"> – J and Q visa holders + immediate family.</w:t>
      </w:r>
    </w:p>
    <w:p w14:paraId="4D0B1FE7" w14:textId="77777777" w:rsidR="00032CE8" w:rsidRDefault="00032CE8" w:rsidP="00032CE8">
      <w:pPr>
        <w:pStyle w:val="NoSpacing"/>
        <w:ind w:left="1440"/>
        <w:jc w:val="both"/>
        <w:rPr>
          <w:sz w:val="22"/>
        </w:rPr>
      </w:pPr>
    </w:p>
    <w:p w14:paraId="5C2930B7" w14:textId="0A23DE26" w:rsidR="00032CE8" w:rsidRDefault="00032CE8" w:rsidP="00032CE8">
      <w:pPr>
        <w:pStyle w:val="NoSpacing"/>
        <w:ind w:left="1440"/>
        <w:jc w:val="both"/>
        <w:rPr>
          <w:sz w:val="22"/>
        </w:rPr>
      </w:pPr>
      <w:r w:rsidRPr="00032CE8">
        <w:rPr>
          <w:i/>
          <w:sz w:val="22"/>
        </w:rPr>
        <w:t>Student</w:t>
      </w:r>
      <w:r w:rsidR="00AE315E">
        <w:rPr>
          <w:sz w:val="22"/>
        </w:rPr>
        <w:t xml:space="preserve"> – F, J, M and Q visa holders + immediate family.</w:t>
      </w:r>
    </w:p>
    <w:p w14:paraId="71C0BD1C" w14:textId="77777777" w:rsidR="00AE315E" w:rsidRDefault="00AE315E" w:rsidP="00032CE8">
      <w:pPr>
        <w:pStyle w:val="NoSpacing"/>
        <w:ind w:left="1440"/>
        <w:jc w:val="both"/>
        <w:rPr>
          <w:sz w:val="22"/>
        </w:rPr>
      </w:pPr>
    </w:p>
    <w:p w14:paraId="1D0E1EC4" w14:textId="6FC60023" w:rsidR="00AE315E" w:rsidRPr="00AE315E" w:rsidRDefault="00AE315E" w:rsidP="00032CE8">
      <w:pPr>
        <w:pStyle w:val="NoSpacing"/>
        <w:ind w:left="1440"/>
        <w:jc w:val="both"/>
        <w:rPr>
          <w:sz w:val="22"/>
        </w:rPr>
      </w:pPr>
      <w:r>
        <w:rPr>
          <w:i/>
          <w:sz w:val="22"/>
        </w:rPr>
        <w:t>Certain Professional Athletes</w:t>
      </w:r>
      <w:r>
        <w:rPr>
          <w:sz w:val="22"/>
        </w:rPr>
        <w:t xml:space="preserve"> – days of actual competition in charitable sports events.</w:t>
      </w:r>
    </w:p>
    <w:p w14:paraId="2B23DD9E" w14:textId="77777777" w:rsidR="00032CE8" w:rsidRDefault="00032CE8" w:rsidP="00AE315E">
      <w:pPr>
        <w:pStyle w:val="NoSpacing"/>
        <w:ind w:left="1440"/>
        <w:jc w:val="both"/>
        <w:rPr>
          <w:sz w:val="22"/>
        </w:rPr>
      </w:pPr>
    </w:p>
    <w:p w14:paraId="44C7D651" w14:textId="456C14E8" w:rsidR="0092708C" w:rsidRDefault="0092708C" w:rsidP="006A56B3">
      <w:pPr>
        <w:pStyle w:val="NoSpacing"/>
        <w:numPr>
          <w:ilvl w:val="0"/>
          <w:numId w:val="6"/>
        </w:numPr>
        <w:jc w:val="both"/>
        <w:rPr>
          <w:sz w:val="22"/>
        </w:rPr>
      </w:pPr>
      <w:r w:rsidRPr="006871EF">
        <w:rPr>
          <w:b/>
          <w:i/>
          <w:sz w:val="22"/>
        </w:rPr>
        <w:t>Residency Commencement Date</w:t>
      </w:r>
      <w:r w:rsidR="00763854">
        <w:rPr>
          <w:sz w:val="22"/>
        </w:rPr>
        <w:t>:  S</w:t>
      </w:r>
      <w:r>
        <w:rPr>
          <w:sz w:val="22"/>
        </w:rPr>
        <w:t xml:space="preserve">ignificant for determining date on which </w:t>
      </w:r>
      <w:r w:rsidR="00763854">
        <w:rPr>
          <w:sz w:val="22"/>
        </w:rPr>
        <w:t xml:space="preserve">an </w:t>
      </w:r>
      <w:r>
        <w:rPr>
          <w:sz w:val="22"/>
        </w:rPr>
        <w:t xml:space="preserve">alien </w:t>
      </w:r>
      <w:r w:rsidR="00763854">
        <w:rPr>
          <w:sz w:val="22"/>
        </w:rPr>
        <w:t xml:space="preserve">is </w:t>
      </w:r>
      <w:r>
        <w:rPr>
          <w:sz w:val="22"/>
        </w:rPr>
        <w:t>considered to have received income subject to U.S. tax and avoidance of tax on income received prior to that date.</w:t>
      </w:r>
      <w:r w:rsidR="00CA52AD">
        <w:rPr>
          <w:sz w:val="22"/>
        </w:rPr>
        <w:t xml:space="preserve">  </w:t>
      </w:r>
      <w:r w:rsidR="00CA52AD">
        <w:rPr>
          <w:i/>
          <w:sz w:val="22"/>
        </w:rPr>
        <w:t>See generally,</w:t>
      </w:r>
      <w:r w:rsidR="00CA52AD">
        <w:rPr>
          <w:sz w:val="22"/>
        </w:rPr>
        <w:t xml:space="preserve"> </w:t>
      </w:r>
      <w:r w:rsidR="00763854">
        <w:rPr>
          <w:rFonts w:cs="Times New Roman"/>
          <w:sz w:val="22"/>
        </w:rPr>
        <w:t>§</w:t>
      </w:r>
      <w:r w:rsidR="00CA52AD">
        <w:rPr>
          <w:sz w:val="22"/>
        </w:rPr>
        <w:t xml:space="preserve">7701(b)(2)(A)(iii); Regs. </w:t>
      </w:r>
      <w:r w:rsidR="00763854">
        <w:rPr>
          <w:rFonts w:cs="Times New Roman"/>
          <w:sz w:val="22"/>
        </w:rPr>
        <w:t>§</w:t>
      </w:r>
      <w:r w:rsidR="00CA52AD">
        <w:rPr>
          <w:sz w:val="22"/>
        </w:rPr>
        <w:t>301.7701(b)-4(a).</w:t>
      </w:r>
    </w:p>
    <w:p w14:paraId="1A308616" w14:textId="77777777" w:rsidR="00AD4EE7" w:rsidRDefault="00AD4EE7" w:rsidP="00AD4EE7">
      <w:pPr>
        <w:pStyle w:val="NoSpacing"/>
        <w:jc w:val="both"/>
        <w:rPr>
          <w:sz w:val="22"/>
        </w:rPr>
      </w:pPr>
    </w:p>
    <w:p w14:paraId="0C691E82" w14:textId="5E6AE57E" w:rsidR="00C30975" w:rsidRDefault="00C30975" w:rsidP="006A56B3">
      <w:pPr>
        <w:pStyle w:val="NoSpacing"/>
        <w:numPr>
          <w:ilvl w:val="1"/>
          <w:numId w:val="6"/>
        </w:numPr>
        <w:jc w:val="both"/>
        <w:rPr>
          <w:sz w:val="22"/>
        </w:rPr>
      </w:pPr>
      <w:r>
        <w:rPr>
          <w:sz w:val="22"/>
          <w:u w:val="single"/>
        </w:rPr>
        <w:t>Green Card</w:t>
      </w:r>
      <w:r>
        <w:rPr>
          <w:sz w:val="22"/>
        </w:rPr>
        <w:t xml:space="preserve">.  Residency commences on the first day present in U.S. after card issues.  If the individual is already present in the U.S., commencement is </w:t>
      </w:r>
      <w:r w:rsidR="007A5FAA">
        <w:rPr>
          <w:sz w:val="22"/>
        </w:rPr>
        <w:t>as of</w:t>
      </w:r>
      <w:r>
        <w:rPr>
          <w:sz w:val="22"/>
        </w:rPr>
        <w:t xml:space="preserve"> the date of card issuance.</w:t>
      </w:r>
    </w:p>
    <w:p w14:paraId="5294B0EA" w14:textId="77777777" w:rsidR="00AD4EE7" w:rsidRDefault="00AD4EE7" w:rsidP="00AD4EE7">
      <w:pPr>
        <w:pStyle w:val="NoSpacing"/>
        <w:jc w:val="both"/>
        <w:rPr>
          <w:sz w:val="22"/>
        </w:rPr>
      </w:pPr>
    </w:p>
    <w:p w14:paraId="26C09A88" w14:textId="45F2EB1D" w:rsidR="00C30975" w:rsidRDefault="00C30975" w:rsidP="006A56B3">
      <w:pPr>
        <w:pStyle w:val="NoSpacing"/>
        <w:numPr>
          <w:ilvl w:val="1"/>
          <w:numId w:val="6"/>
        </w:numPr>
        <w:jc w:val="both"/>
        <w:rPr>
          <w:sz w:val="22"/>
        </w:rPr>
      </w:pPr>
      <w:r>
        <w:rPr>
          <w:sz w:val="22"/>
          <w:u w:val="single"/>
        </w:rPr>
        <w:lastRenderedPageBreak/>
        <w:t>Substantial Presence</w:t>
      </w:r>
      <w:r w:rsidRPr="00C30975">
        <w:rPr>
          <w:sz w:val="22"/>
        </w:rPr>
        <w:t>.</w:t>
      </w:r>
      <w:r>
        <w:rPr>
          <w:sz w:val="22"/>
        </w:rPr>
        <w:t xml:space="preserve">  </w:t>
      </w:r>
      <w:r w:rsidR="007A5FAA">
        <w:rPr>
          <w:sz w:val="22"/>
        </w:rPr>
        <w:t>Commencement</w:t>
      </w:r>
      <w:r w:rsidR="00AD4EE7">
        <w:rPr>
          <w:sz w:val="22"/>
        </w:rPr>
        <w:t xml:space="preserve"> on </w:t>
      </w:r>
      <w:r w:rsidR="007A5FAA">
        <w:rPr>
          <w:sz w:val="22"/>
        </w:rPr>
        <w:t xml:space="preserve">the </w:t>
      </w:r>
      <w:r w:rsidR="00AD4EE7">
        <w:rPr>
          <w:sz w:val="22"/>
        </w:rPr>
        <w:t xml:space="preserve">first </w:t>
      </w:r>
      <w:r w:rsidR="007A5FAA">
        <w:rPr>
          <w:sz w:val="22"/>
        </w:rPr>
        <w:t>day of the calendar year in which the individual is actually present in U.S</w:t>
      </w:r>
      <w:r w:rsidR="00EF194D">
        <w:rPr>
          <w:sz w:val="22"/>
        </w:rPr>
        <w:t>.  Therefore, the start date is effectively retroactive</w:t>
      </w:r>
      <w:r w:rsidR="00763854">
        <w:rPr>
          <w:sz w:val="22"/>
        </w:rPr>
        <w:t xml:space="preserve"> for the current calendar year</w:t>
      </w:r>
      <w:r w:rsidR="00EF194D">
        <w:rPr>
          <w:sz w:val="22"/>
        </w:rPr>
        <w:t>.</w:t>
      </w:r>
    </w:p>
    <w:p w14:paraId="0EE706CC" w14:textId="77777777" w:rsidR="00EF194D" w:rsidRDefault="00EF194D" w:rsidP="00EF194D">
      <w:pPr>
        <w:pStyle w:val="ListParagraph"/>
        <w:rPr>
          <w:sz w:val="22"/>
        </w:rPr>
      </w:pPr>
    </w:p>
    <w:p w14:paraId="24F35BC2" w14:textId="780416D5" w:rsidR="00EF194D" w:rsidRPr="00EF194D" w:rsidRDefault="00EF194D" w:rsidP="00EF194D">
      <w:pPr>
        <w:pStyle w:val="ListParagraph"/>
        <w:rPr>
          <w:b/>
          <w:sz w:val="22"/>
        </w:rPr>
      </w:pPr>
      <w:r>
        <w:rPr>
          <w:sz w:val="22"/>
        </w:rPr>
        <w:tab/>
      </w:r>
      <w:r>
        <w:rPr>
          <w:sz w:val="22"/>
        </w:rPr>
        <w:tab/>
      </w:r>
      <w:r>
        <w:rPr>
          <w:sz w:val="22"/>
          <w:u w:val="single"/>
        </w:rPr>
        <w:t>Example #3</w:t>
      </w:r>
      <w:r>
        <w:rPr>
          <w:sz w:val="22"/>
        </w:rPr>
        <w:t xml:space="preserve">.  </w:t>
      </w:r>
      <w:r w:rsidR="007C4B83">
        <w:rPr>
          <w:sz w:val="22"/>
        </w:rPr>
        <w:t>Same facts as in Example #2 for the year 2016.  Oakley’s commencement date is January 1, 2016</w:t>
      </w:r>
      <w:r w:rsidR="00810806">
        <w:rPr>
          <w:sz w:val="22"/>
        </w:rPr>
        <w:t xml:space="preserve">, and not September 30. </w:t>
      </w:r>
    </w:p>
    <w:p w14:paraId="309AA5A3" w14:textId="6CBD7B65" w:rsidR="00EF194D" w:rsidRDefault="00AD4EE7" w:rsidP="00EF194D">
      <w:pPr>
        <w:pStyle w:val="NoSpacing"/>
        <w:numPr>
          <w:ilvl w:val="1"/>
          <w:numId w:val="6"/>
        </w:numPr>
        <w:jc w:val="both"/>
        <w:rPr>
          <w:sz w:val="22"/>
        </w:rPr>
      </w:pPr>
      <w:r>
        <w:rPr>
          <w:sz w:val="22"/>
          <w:u w:val="single"/>
        </w:rPr>
        <w:t>Double Return Filing</w:t>
      </w:r>
      <w:r w:rsidRPr="00AD4EE7">
        <w:rPr>
          <w:sz w:val="22"/>
        </w:rPr>
        <w:t>.</w:t>
      </w:r>
      <w:r>
        <w:rPr>
          <w:sz w:val="22"/>
        </w:rPr>
        <w:t xml:space="preserve">  Practically, the individual is required to file two re</w:t>
      </w:r>
      <w:r w:rsidR="00EF194D">
        <w:rPr>
          <w:sz w:val="22"/>
        </w:rPr>
        <w:t xml:space="preserve">turns for the commencement year.  One to report worldwide income for the entire year to the home country, and a second </w:t>
      </w:r>
      <w:r w:rsidR="00044597">
        <w:rPr>
          <w:sz w:val="22"/>
        </w:rPr>
        <w:t>with</w:t>
      </w:r>
      <w:r w:rsidR="00EF194D">
        <w:rPr>
          <w:sz w:val="22"/>
        </w:rPr>
        <w:t xml:space="preserve"> the U.S. </w:t>
      </w:r>
      <w:r w:rsidR="00044597">
        <w:rPr>
          <w:sz w:val="22"/>
        </w:rPr>
        <w:t xml:space="preserve">to be taxed on </w:t>
      </w:r>
      <w:r w:rsidR="00EF194D">
        <w:rPr>
          <w:sz w:val="22"/>
        </w:rPr>
        <w:t>a portion of that worldwide income.</w:t>
      </w:r>
      <w:r w:rsidR="00044597">
        <w:rPr>
          <w:sz w:val="22"/>
        </w:rPr>
        <w:t xml:space="preserve">  Tax credits may be available to avoid double taxation.</w:t>
      </w:r>
    </w:p>
    <w:p w14:paraId="052BE02D" w14:textId="77777777" w:rsidR="00EF194D" w:rsidRDefault="00EF194D" w:rsidP="00EF194D">
      <w:pPr>
        <w:pStyle w:val="NoSpacing"/>
        <w:ind w:left="1440"/>
        <w:jc w:val="both"/>
        <w:rPr>
          <w:sz w:val="22"/>
        </w:rPr>
      </w:pPr>
    </w:p>
    <w:p w14:paraId="14791BCA" w14:textId="1C373E9D" w:rsidR="00EF194D" w:rsidRPr="00EF194D" w:rsidRDefault="00EF194D" w:rsidP="00EF194D">
      <w:pPr>
        <w:pStyle w:val="NoSpacing"/>
        <w:numPr>
          <w:ilvl w:val="1"/>
          <w:numId w:val="6"/>
        </w:numPr>
        <w:jc w:val="both"/>
        <w:rPr>
          <w:sz w:val="22"/>
        </w:rPr>
      </w:pPr>
      <w:r>
        <w:rPr>
          <w:sz w:val="22"/>
          <w:u w:val="single"/>
        </w:rPr>
        <w:t>Tourist Trap</w:t>
      </w:r>
      <w:r>
        <w:rPr>
          <w:sz w:val="22"/>
        </w:rPr>
        <w:t xml:space="preserve">.  As indicated, a visitor’s status can change for any given year.  Therefore, the substantial presence test can </w:t>
      </w:r>
      <w:r w:rsidR="00763854">
        <w:rPr>
          <w:sz w:val="22"/>
        </w:rPr>
        <w:t>trap</w:t>
      </w:r>
      <w:r>
        <w:rPr>
          <w:sz w:val="22"/>
        </w:rPr>
        <w:t xml:space="preserve"> the unwary foreign tourist who makes frequent visits to the U.S.</w:t>
      </w:r>
    </w:p>
    <w:p w14:paraId="4175AFBA" w14:textId="77777777" w:rsidR="00E17A1A" w:rsidRDefault="00E17A1A" w:rsidP="00E17A1A">
      <w:pPr>
        <w:pStyle w:val="NoSpacing"/>
        <w:ind w:left="720"/>
        <w:jc w:val="both"/>
        <w:rPr>
          <w:sz w:val="22"/>
        </w:rPr>
      </w:pPr>
    </w:p>
    <w:p w14:paraId="5AE3454A" w14:textId="3FEB55E5" w:rsidR="00E26CF0" w:rsidRDefault="00E26CF0" w:rsidP="006A56B3">
      <w:pPr>
        <w:pStyle w:val="NoSpacing"/>
        <w:numPr>
          <w:ilvl w:val="0"/>
          <w:numId w:val="5"/>
        </w:numPr>
        <w:jc w:val="both"/>
        <w:rPr>
          <w:sz w:val="22"/>
        </w:rPr>
      </w:pPr>
      <w:r w:rsidRPr="006871EF">
        <w:rPr>
          <w:b/>
          <w:i/>
          <w:sz w:val="22"/>
        </w:rPr>
        <w:t>Treaty Override</w:t>
      </w:r>
      <w:r>
        <w:rPr>
          <w:sz w:val="22"/>
        </w:rPr>
        <w:t>:</w:t>
      </w:r>
      <w:r w:rsidR="000169C8">
        <w:rPr>
          <w:sz w:val="22"/>
        </w:rPr>
        <w:t xml:space="preserve">  </w:t>
      </w:r>
      <w:r w:rsidR="00EF194D">
        <w:rPr>
          <w:sz w:val="22"/>
        </w:rPr>
        <w:t>When</w:t>
      </w:r>
      <w:r w:rsidR="000169C8">
        <w:rPr>
          <w:sz w:val="22"/>
        </w:rPr>
        <w:t xml:space="preserve"> an individual is treated as a U</w:t>
      </w:r>
      <w:r w:rsidR="00870E97">
        <w:rPr>
          <w:sz w:val="22"/>
        </w:rPr>
        <w:t>.</w:t>
      </w:r>
      <w:r w:rsidR="000169C8">
        <w:rPr>
          <w:sz w:val="22"/>
        </w:rPr>
        <w:t>S</w:t>
      </w:r>
      <w:r w:rsidR="00870E97">
        <w:rPr>
          <w:sz w:val="22"/>
        </w:rPr>
        <w:t>.</w:t>
      </w:r>
      <w:r w:rsidR="000169C8">
        <w:rPr>
          <w:sz w:val="22"/>
        </w:rPr>
        <w:t xml:space="preserve"> resident for tax purposes and a tax resident of another treaty-based country (perhaps based on the alien’s citizenship), the individual </w:t>
      </w:r>
      <w:r w:rsidR="00AD4EE7">
        <w:rPr>
          <w:sz w:val="22"/>
        </w:rPr>
        <w:t>may be able to avoid</w:t>
      </w:r>
      <w:r w:rsidR="000169C8">
        <w:rPr>
          <w:sz w:val="22"/>
        </w:rPr>
        <w:t xml:space="preserve"> U</w:t>
      </w:r>
      <w:r w:rsidR="00870E97">
        <w:rPr>
          <w:sz w:val="22"/>
        </w:rPr>
        <w:t>.</w:t>
      </w:r>
      <w:r w:rsidR="000169C8">
        <w:rPr>
          <w:sz w:val="22"/>
        </w:rPr>
        <w:t>S</w:t>
      </w:r>
      <w:r w:rsidR="00870E97">
        <w:rPr>
          <w:sz w:val="22"/>
        </w:rPr>
        <w:t>.</w:t>
      </w:r>
      <w:r w:rsidR="000169C8">
        <w:rPr>
          <w:sz w:val="22"/>
        </w:rPr>
        <w:t xml:space="preserve"> resident</w:t>
      </w:r>
      <w:r w:rsidR="00AD4EE7">
        <w:rPr>
          <w:sz w:val="22"/>
        </w:rPr>
        <w:t xml:space="preserve"> status</w:t>
      </w:r>
      <w:r w:rsidR="000169C8">
        <w:rPr>
          <w:sz w:val="22"/>
        </w:rPr>
        <w:t>.</w:t>
      </w:r>
      <w:r w:rsidR="00AD4EE7">
        <w:rPr>
          <w:sz w:val="22"/>
        </w:rPr>
        <w:t xml:space="preserve">  Treaty review a must!</w:t>
      </w:r>
    </w:p>
    <w:p w14:paraId="5BE6161A" w14:textId="77777777" w:rsidR="000169C8" w:rsidRDefault="000169C8" w:rsidP="0092708C">
      <w:pPr>
        <w:pStyle w:val="NoSpacing"/>
        <w:jc w:val="both"/>
        <w:rPr>
          <w:sz w:val="22"/>
        </w:rPr>
      </w:pPr>
    </w:p>
    <w:p w14:paraId="24EAC4B4" w14:textId="324DCEA5" w:rsidR="00367A7D" w:rsidRDefault="0039071B" w:rsidP="0092708C">
      <w:pPr>
        <w:pStyle w:val="NoSpacing"/>
        <w:jc w:val="both"/>
        <w:rPr>
          <w:sz w:val="22"/>
        </w:rPr>
      </w:pPr>
      <w:r>
        <w:rPr>
          <w:sz w:val="22"/>
        </w:rPr>
        <w:t>C</w:t>
      </w:r>
      <w:r w:rsidR="00E17A1A">
        <w:rPr>
          <w:sz w:val="22"/>
        </w:rPr>
        <w:t>.</w:t>
      </w:r>
      <w:r w:rsidR="00E17A1A">
        <w:rPr>
          <w:sz w:val="22"/>
        </w:rPr>
        <w:tab/>
      </w:r>
      <w:r w:rsidR="00E17A1A">
        <w:rPr>
          <w:sz w:val="22"/>
          <w:u w:val="single"/>
        </w:rPr>
        <w:t>Pre-Residen</w:t>
      </w:r>
      <w:r w:rsidR="007A5FAA">
        <w:rPr>
          <w:sz w:val="22"/>
          <w:u w:val="single"/>
        </w:rPr>
        <w:t>cy</w:t>
      </w:r>
      <w:r w:rsidR="00E17A1A">
        <w:rPr>
          <w:sz w:val="22"/>
          <w:u w:val="single"/>
        </w:rPr>
        <w:t xml:space="preserve"> </w:t>
      </w:r>
      <w:r w:rsidR="000169C8">
        <w:rPr>
          <w:sz w:val="22"/>
          <w:u w:val="single"/>
        </w:rPr>
        <w:t>Tax Saving Measures</w:t>
      </w:r>
      <w:r w:rsidR="000169C8">
        <w:rPr>
          <w:sz w:val="22"/>
        </w:rPr>
        <w:t xml:space="preserve">.  In counselling alien individuals who are planning to establish U.S. </w:t>
      </w:r>
      <w:r w:rsidR="0092708C">
        <w:rPr>
          <w:sz w:val="22"/>
        </w:rPr>
        <w:t xml:space="preserve">residency status, consideration should be given to proactive actions that may be taken to avoid U.S. income </w:t>
      </w:r>
      <w:r w:rsidR="007C172C">
        <w:rPr>
          <w:sz w:val="22"/>
        </w:rPr>
        <w:t>and transfer taxes</w:t>
      </w:r>
      <w:r w:rsidR="0092708C">
        <w:rPr>
          <w:sz w:val="22"/>
        </w:rPr>
        <w:t>.</w:t>
      </w:r>
    </w:p>
    <w:p w14:paraId="5D88FE63" w14:textId="77777777" w:rsidR="00367A7D" w:rsidRDefault="00367A7D" w:rsidP="0092708C">
      <w:pPr>
        <w:pStyle w:val="NoSpacing"/>
        <w:jc w:val="both"/>
        <w:rPr>
          <w:sz w:val="22"/>
        </w:rPr>
      </w:pPr>
    </w:p>
    <w:p w14:paraId="6B94035D" w14:textId="64CBB280" w:rsidR="00690267" w:rsidRDefault="00493DB5" w:rsidP="002071E3">
      <w:pPr>
        <w:pStyle w:val="NoSpacing"/>
        <w:numPr>
          <w:ilvl w:val="0"/>
          <w:numId w:val="6"/>
        </w:numPr>
        <w:jc w:val="both"/>
        <w:rPr>
          <w:sz w:val="22"/>
        </w:rPr>
      </w:pPr>
      <w:r w:rsidRPr="006871EF">
        <w:rPr>
          <w:b/>
          <w:i/>
          <w:sz w:val="22"/>
        </w:rPr>
        <w:t>Avoiding Capital Gains</w:t>
      </w:r>
      <w:r w:rsidR="00E17A1A" w:rsidRPr="006871EF">
        <w:rPr>
          <w:b/>
          <w:i/>
          <w:sz w:val="22"/>
        </w:rPr>
        <w:t xml:space="preserve"> (General Rule</w:t>
      </w:r>
      <w:r w:rsidR="00E17A1A">
        <w:rPr>
          <w:i/>
          <w:sz w:val="22"/>
        </w:rPr>
        <w:t>)</w:t>
      </w:r>
      <w:r>
        <w:rPr>
          <w:i/>
          <w:sz w:val="22"/>
        </w:rPr>
        <w:t>:</w:t>
      </w:r>
      <w:r w:rsidR="00BA6E09">
        <w:rPr>
          <w:sz w:val="22"/>
        </w:rPr>
        <w:t xml:space="preserve"> </w:t>
      </w:r>
      <w:r w:rsidR="00690267">
        <w:rPr>
          <w:sz w:val="22"/>
        </w:rPr>
        <w:t xml:space="preserve"> </w:t>
      </w:r>
      <w:r w:rsidR="007A5FAA">
        <w:rPr>
          <w:sz w:val="22"/>
        </w:rPr>
        <w:t>As indicated above, with</w:t>
      </w:r>
      <w:r w:rsidR="00BA6E09">
        <w:rPr>
          <w:sz w:val="22"/>
        </w:rPr>
        <w:t xml:space="preserve"> the exception </w:t>
      </w:r>
      <w:r w:rsidR="007A5FAA">
        <w:rPr>
          <w:sz w:val="22"/>
        </w:rPr>
        <w:t xml:space="preserve">of sales of U.S. real property under the FIRPTA rules, </w:t>
      </w:r>
      <w:r w:rsidR="00BA6E09">
        <w:rPr>
          <w:sz w:val="22"/>
        </w:rPr>
        <w:t>nonresident</w:t>
      </w:r>
      <w:r w:rsidR="00E17A1A">
        <w:rPr>
          <w:sz w:val="22"/>
        </w:rPr>
        <w:t>s</w:t>
      </w:r>
      <w:r w:rsidR="00BA6E09">
        <w:rPr>
          <w:sz w:val="22"/>
        </w:rPr>
        <w:t xml:space="preserve"> are not subject to U.S. tax on U.S. source capital gains.</w:t>
      </w:r>
      <w:r w:rsidR="00870E97">
        <w:rPr>
          <w:sz w:val="22"/>
        </w:rPr>
        <w:t xml:space="preserve">  </w:t>
      </w:r>
      <w:r w:rsidR="00870E97">
        <w:rPr>
          <w:i/>
          <w:sz w:val="22"/>
        </w:rPr>
        <w:t>See generally</w:t>
      </w:r>
      <w:r w:rsidR="00870E97">
        <w:rPr>
          <w:sz w:val="22"/>
        </w:rPr>
        <w:t xml:space="preserve">, </w:t>
      </w:r>
      <w:r w:rsidR="00870E97">
        <w:rPr>
          <w:rFonts w:cs="Times New Roman"/>
          <w:sz w:val="22"/>
        </w:rPr>
        <w:t>§</w:t>
      </w:r>
      <w:r w:rsidR="00870E97">
        <w:rPr>
          <w:sz w:val="22"/>
        </w:rPr>
        <w:t>871(a)(1).</w:t>
      </w:r>
      <w:r>
        <w:rPr>
          <w:sz w:val="22"/>
        </w:rPr>
        <w:t xml:space="preserve">  Therefore, if the </w:t>
      </w:r>
      <w:r w:rsidR="00AD4EE7">
        <w:rPr>
          <w:sz w:val="22"/>
        </w:rPr>
        <w:t>noncitizen</w:t>
      </w:r>
      <w:r>
        <w:rPr>
          <w:sz w:val="22"/>
        </w:rPr>
        <w:t xml:space="preserve"> is coming to the U.S. from a country </w:t>
      </w:r>
      <w:r w:rsidR="005C2EC3">
        <w:rPr>
          <w:sz w:val="22"/>
        </w:rPr>
        <w:t xml:space="preserve">that does not tax capital gains, </w:t>
      </w:r>
      <w:r>
        <w:rPr>
          <w:sz w:val="22"/>
        </w:rPr>
        <w:t>or one whose tax rate is lowe</w:t>
      </w:r>
      <w:r w:rsidR="005C2EC3">
        <w:rPr>
          <w:sz w:val="22"/>
        </w:rPr>
        <w:t>r (or if the noncitizen has capital loss carryforwards)</w:t>
      </w:r>
      <w:r>
        <w:rPr>
          <w:sz w:val="22"/>
        </w:rPr>
        <w:t>, consider selling capital assets before resident status established.</w:t>
      </w:r>
    </w:p>
    <w:p w14:paraId="2851FA1A" w14:textId="77777777" w:rsidR="00690267" w:rsidRDefault="00690267" w:rsidP="0092708C">
      <w:pPr>
        <w:pStyle w:val="NoSpacing"/>
        <w:jc w:val="both"/>
        <w:rPr>
          <w:sz w:val="22"/>
        </w:rPr>
      </w:pPr>
    </w:p>
    <w:p w14:paraId="68C9FA8C" w14:textId="3C33BEB6" w:rsidR="00EA7269" w:rsidRDefault="00044597" w:rsidP="00044597">
      <w:pPr>
        <w:pStyle w:val="NoSpacing"/>
        <w:ind w:left="720"/>
        <w:jc w:val="both"/>
        <w:rPr>
          <w:sz w:val="22"/>
        </w:rPr>
      </w:pPr>
      <w:r w:rsidRPr="00044597">
        <w:rPr>
          <w:sz w:val="22"/>
        </w:rPr>
        <w:tab/>
      </w:r>
      <w:r w:rsidR="00690267">
        <w:rPr>
          <w:sz w:val="22"/>
          <w:u w:val="single"/>
        </w:rPr>
        <w:t>Example #</w:t>
      </w:r>
      <w:r w:rsidR="00850574">
        <w:rPr>
          <w:sz w:val="22"/>
          <w:u w:val="single"/>
        </w:rPr>
        <w:t>4</w:t>
      </w:r>
      <w:r w:rsidR="00690267">
        <w:rPr>
          <w:sz w:val="22"/>
        </w:rPr>
        <w:t xml:space="preserve">:  Sell foreign home </w:t>
      </w:r>
      <w:r w:rsidR="008D5B3C">
        <w:rPr>
          <w:sz w:val="22"/>
        </w:rPr>
        <w:t xml:space="preserve">or vacation property </w:t>
      </w:r>
      <w:r w:rsidR="00690267">
        <w:rPr>
          <w:sz w:val="22"/>
        </w:rPr>
        <w:t xml:space="preserve">before </w:t>
      </w:r>
      <w:r w:rsidR="00850574">
        <w:rPr>
          <w:sz w:val="22"/>
        </w:rPr>
        <w:t xml:space="preserve">the </w:t>
      </w:r>
      <w:r w:rsidR="002071E3">
        <w:rPr>
          <w:sz w:val="22"/>
        </w:rPr>
        <w:t>residency</w:t>
      </w:r>
      <w:r w:rsidR="00810806">
        <w:rPr>
          <w:sz w:val="22"/>
        </w:rPr>
        <w:t xml:space="preserve"> </w:t>
      </w:r>
      <w:r w:rsidR="00E17A1A">
        <w:rPr>
          <w:sz w:val="22"/>
        </w:rPr>
        <w:t>commencement date</w:t>
      </w:r>
      <w:r w:rsidR="00690267">
        <w:rPr>
          <w:sz w:val="22"/>
        </w:rPr>
        <w:t xml:space="preserve">.  </w:t>
      </w:r>
      <w:r w:rsidR="008D5B3C">
        <w:rPr>
          <w:sz w:val="22"/>
        </w:rPr>
        <w:t xml:space="preserve">Although the principal residence exclusion of </w:t>
      </w:r>
      <w:r w:rsidR="008D5B3C">
        <w:rPr>
          <w:rFonts w:cs="Times New Roman"/>
          <w:sz w:val="22"/>
        </w:rPr>
        <w:t>§</w:t>
      </w:r>
      <w:r w:rsidR="008D5B3C">
        <w:rPr>
          <w:sz w:val="22"/>
        </w:rPr>
        <w:t>121 may apply to a sale after residency established, it will not result in a basis step up for any new U.S. principal residence.</w:t>
      </w:r>
    </w:p>
    <w:p w14:paraId="711CCC34" w14:textId="77777777" w:rsidR="00FF0149" w:rsidRDefault="00FF0149" w:rsidP="00FF0149">
      <w:pPr>
        <w:pStyle w:val="NoSpacing"/>
        <w:jc w:val="both"/>
        <w:rPr>
          <w:sz w:val="22"/>
        </w:rPr>
      </w:pPr>
    </w:p>
    <w:p w14:paraId="78D2D5DC" w14:textId="189D9983" w:rsidR="00FF0149" w:rsidRPr="005C2EC3" w:rsidRDefault="002071E3" w:rsidP="002071E3">
      <w:pPr>
        <w:pStyle w:val="NoSpacing"/>
        <w:numPr>
          <w:ilvl w:val="0"/>
          <w:numId w:val="5"/>
        </w:numPr>
        <w:ind w:firstLine="0"/>
        <w:jc w:val="both"/>
        <w:rPr>
          <w:sz w:val="22"/>
        </w:rPr>
      </w:pPr>
      <w:r w:rsidRPr="00C43994">
        <w:rPr>
          <w:sz w:val="22"/>
          <w:u w:val="single"/>
        </w:rPr>
        <w:t>T</w:t>
      </w:r>
      <w:r w:rsidR="00FF0149">
        <w:rPr>
          <w:sz w:val="22"/>
          <w:u w:val="single"/>
        </w:rPr>
        <w:t>iming Critical</w:t>
      </w:r>
      <w:r w:rsidR="00FF0149">
        <w:rPr>
          <w:sz w:val="22"/>
        </w:rPr>
        <w:t>.  Again, the resident status commencement start date either under the “green card” or “substantial presence” tests can be critical for avoidance of U.S. tax on potential sale</w:t>
      </w:r>
      <w:r w:rsidR="00850574">
        <w:rPr>
          <w:sz w:val="22"/>
        </w:rPr>
        <w:t>s</w:t>
      </w:r>
      <w:r w:rsidR="00FF0149">
        <w:rPr>
          <w:sz w:val="22"/>
        </w:rPr>
        <w:t xml:space="preserve"> of capital assets.</w:t>
      </w:r>
    </w:p>
    <w:p w14:paraId="279DA8E0" w14:textId="77777777" w:rsidR="00EA7269" w:rsidRDefault="00EA7269" w:rsidP="00EA7269">
      <w:pPr>
        <w:pStyle w:val="NoSpacing"/>
        <w:jc w:val="both"/>
        <w:rPr>
          <w:sz w:val="22"/>
        </w:rPr>
      </w:pPr>
    </w:p>
    <w:p w14:paraId="66644EF2" w14:textId="6F7A771D" w:rsidR="008D5B3C" w:rsidRDefault="002E0CFF" w:rsidP="002071E3">
      <w:pPr>
        <w:pStyle w:val="NoSpacing"/>
        <w:numPr>
          <w:ilvl w:val="0"/>
          <w:numId w:val="5"/>
        </w:numPr>
        <w:jc w:val="both"/>
        <w:rPr>
          <w:sz w:val="22"/>
        </w:rPr>
      </w:pPr>
      <w:r w:rsidRPr="006871EF">
        <w:rPr>
          <w:b/>
          <w:i/>
          <w:sz w:val="22"/>
        </w:rPr>
        <w:t>Basis Step-up</w:t>
      </w:r>
      <w:r>
        <w:rPr>
          <w:i/>
          <w:sz w:val="22"/>
        </w:rPr>
        <w:t>:</w:t>
      </w:r>
      <w:r>
        <w:rPr>
          <w:sz w:val="22"/>
        </w:rPr>
        <w:t xml:space="preserve"> </w:t>
      </w:r>
      <w:r w:rsidR="00850574">
        <w:rPr>
          <w:sz w:val="22"/>
        </w:rPr>
        <w:t>A</w:t>
      </w:r>
      <w:r w:rsidR="008D5B3C">
        <w:rPr>
          <w:sz w:val="22"/>
        </w:rPr>
        <w:t xml:space="preserve">s implied by </w:t>
      </w:r>
      <w:r w:rsidR="008D5B3C">
        <w:rPr>
          <w:sz w:val="22"/>
          <w:u w:val="single"/>
        </w:rPr>
        <w:t>Example #</w:t>
      </w:r>
      <w:r w:rsidR="00850574">
        <w:rPr>
          <w:sz w:val="22"/>
          <w:u w:val="single"/>
        </w:rPr>
        <w:t>4</w:t>
      </w:r>
      <w:r w:rsidR="008D5B3C">
        <w:rPr>
          <w:sz w:val="22"/>
        </w:rPr>
        <w:t>, above, basis step-up opportunities may exist.</w:t>
      </w:r>
    </w:p>
    <w:p w14:paraId="26C49CBC" w14:textId="77777777" w:rsidR="005C2EC3" w:rsidRDefault="005C2EC3" w:rsidP="00EA7269">
      <w:pPr>
        <w:pStyle w:val="NoSpacing"/>
        <w:jc w:val="both"/>
        <w:rPr>
          <w:sz w:val="22"/>
        </w:rPr>
      </w:pPr>
    </w:p>
    <w:p w14:paraId="19E96BF1" w14:textId="77777777" w:rsidR="00850574" w:rsidRDefault="005C2EC3" w:rsidP="00850574">
      <w:pPr>
        <w:pStyle w:val="NoSpacing"/>
        <w:numPr>
          <w:ilvl w:val="0"/>
          <w:numId w:val="5"/>
        </w:numPr>
        <w:jc w:val="both"/>
        <w:rPr>
          <w:sz w:val="22"/>
        </w:rPr>
      </w:pPr>
      <w:r>
        <w:rPr>
          <w:sz w:val="22"/>
          <w:u w:val="single"/>
        </w:rPr>
        <w:t>General Rule</w:t>
      </w:r>
      <w:r>
        <w:rPr>
          <w:sz w:val="22"/>
        </w:rPr>
        <w:t>.  For U.S. tax purposes, assets owned by the nonresident alien have an income tax basis equal to the dollar values as of the purchase date.</w:t>
      </w:r>
    </w:p>
    <w:p w14:paraId="54942F0B" w14:textId="77777777" w:rsidR="003717A5" w:rsidRDefault="003717A5" w:rsidP="003717A5">
      <w:pPr>
        <w:pStyle w:val="NoSpacing"/>
        <w:ind w:left="720"/>
        <w:jc w:val="both"/>
        <w:rPr>
          <w:sz w:val="22"/>
        </w:rPr>
      </w:pPr>
    </w:p>
    <w:p w14:paraId="6FAB6AF9" w14:textId="6A616BBF" w:rsidR="000D04F8" w:rsidRPr="00850574" w:rsidRDefault="00AE2FA1" w:rsidP="003219A7">
      <w:pPr>
        <w:pStyle w:val="NoSpacing"/>
        <w:numPr>
          <w:ilvl w:val="0"/>
          <w:numId w:val="42"/>
        </w:numPr>
        <w:ind w:left="1170" w:firstLine="0"/>
        <w:jc w:val="both"/>
        <w:rPr>
          <w:sz w:val="22"/>
        </w:rPr>
      </w:pPr>
      <w:r>
        <w:rPr>
          <w:sz w:val="22"/>
        </w:rPr>
        <w:t xml:space="preserve"> S</w:t>
      </w:r>
      <w:r w:rsidR="00486343" w:rsidRPr="00850574">
        <w:rPr>
          <w:sz w:val="22"/>
        </w:rPr>
        <w:t>ell highly appreciated assets</w:t>
      </w:r>
      <w:r w:rsidR="006871EF" w:rsidRPr="00850574">
        <w:rPr>
          <w:sz w:val="22"/>
        </w:rPr>
        <w:t xml:space="preserve"> before residency commencement date</w:t>
      </w:r>
      <w:r w:rsidR="00486343" w:rsidRPr="00850574">
        <w:rPr>
          <w:sz w:val="22"/>
        </w:rPr>
        <w:t xml:space="preserve">, </w:t>
      </w:r>
      <w:r w:rsidR="00486343" w:rsidRPr="00850574">
        <w:rPr>
          <w:i/>
          <w:sz w:val="22"/>
        </w:rPr>
        <w:t>e.g.,</w:t>
      </w:r>
      <w:r w:rsidR="00486343" w:rsidRPr="00850574">
        <w:rPr>
          <w:sz w:val="22"/>
        </w:rPr>
        <w:t xml:space="preserve"> Apple stock.</w:t>
      </w:r>
    </w:p>
    <w:p w14:paraId="1E33D18A" w14:textId="77777777" w:rsidR="006871EF" w:rsidRDefault="006871EF" w:rsidP="006871EF">
      <w:pPr>
        <w:pStyle w:val="NoSpacing"/>
        <w:ind w:left="780"/>
        <w:jc w:val="both"/>
        <w:rPr>
          <w:sz w:val="22"/>
        </w:rPr>
      </w:pPr>
    </w:p>
    <w:p w14:paraId="44FA5102" w14:textId="2963A61D" w:rsidR="00486343" w:rsidRDefault="00486343" w:rsidP="003717A5">
      <w:pPr>
        <w:pStyle w:val="NoSpacing"/>
        <w:numPr>
          <w:ilvl w:val="0"/>
          <w:numId w:val="7"/>
        </w:numPr>
        <w:ind w:left="1530"/>
        <w:jc w:val="both"/>
        <w:rPr>
          <w:sz w:val="22"/>
        </w:rPr>
      </w:pPr>
      <w:r>
        <w:rPr>
          <w:sz w:val="22"/>
        </w:rPr>
        <w:t>Use proceeds to repurchase shares</w:t>
      </w:r>
      <w:r w:rsidR="003717A5">
        <w:rPr>
          <w:sz w:val="22"/>
        </w:rPr>
        <w:t xml:space="preserve"> in the same company</w:t>
      </w:r>
      <w:r>
        <w:rPr>
          <w:sz w:val="22"/>
        </w:rPr>
        <w:t>.</w:t>
      </w:r>
    </w:p>
    <w:p w14:paraId="0BFE1313" w14:textId="77777777" w:rsidR="00FF0149" w:rsidRDefault="00FF0149" w:rsidP="00FF0149">
      <w:pPr>
        <w:pStyle w:val="NoSpacing"/>
        <w:jc w:val="both"/>
        <w:rPr>
          <w:sz w:val="22"/>
        </w:rPr>
      </w:pPr>
    </w:p>
    <w:p w14:paraId="21671E31" w14:textId="562D5A36" w:rsidR="00FF0149" w:rsidRDefault="00973874" w:rsidP="006A56B3">
      <w:pPr>
        <w:pStyle w:val="NoSpacing"/>
        <w:numPr>
          <w:ilvl w:val="1"/>
          <w:numId w:val="7"/>
        </w:numPr>
        <w:jc w:val="both"/>
        <w:rPr>
          <w:sz w:val="22"/>
        </w:rPr>
      </w:pPr>
      <w:r>
        <w:rPr>
          <w:sz w:val="22"/>
        </w:rPr>
        <w:t>The resulting stepped-up basis in the newly-acquired shares enables the alien to reduce the realized gain on a future sale of assets.</w:t>
      </w:r>
    </w:p>
    <w:p w14:paraId="071A2031" w14:textId="77777777" w:rsidR="003717A5" w:rsidRDefault="003717A5" w:rsidP="003717A5">
      <w:pPr>
        <w:pStyle w:val="NoSpacing"/>
        <w:ind w:left="1500"/>
        <w:jc w:val="both"/>
        <w:rPr>
          <w:sz w:val="22"/>
        </w:rPr>
      </w:pPr>
    </w:p>
    <w:p w14:paraId="6582636E" w14:textId="631F9F1C" w:rsidR="00973874" w:rsidRDefault="00973874" w:rsidP="006A56B3">
      <w:pPr>
        <w:pStyle w:val="NoSpacing"/>
        <w:numPr>
          <w:ilvl w:val="1"/>
          <w:numId w:val="7"/>
        </w:numPr>
        <w:jc w:val="both"/>
        <w:rPr>
          <w:sz w:val="22"/>
        </w:rPr>
      </w:pPr>
      <w:r>
        <w:rPr>
          <w:sz w:val="22"/>
        </w:rPr>
        <w:t xml:space="preserve">In addition, the higher basis presents a valuable gift tax planning opportunity.  Caveat the potential U.S. gift tax impact.  </w:t>
      </w:r>
      <w:r>
        <w:rPr>
          <w:i/>
          <w:sz w:val="22"/>
        </w:rPr>
        <w:t>See discussion, below.</w:t>
      </w:r>
    </w:p>
    <w:p w14:paraId="52028434" w14:textId="77777777" w:rsidR="006871EF" w:rsidRDefault="006871EF" w:rsidP="006871EF">
      <w:pPr>
        <w:pStyle w:val="NoSpacing"/>
        <w:ind w:left="780"/>
        <w:jc w:val="both"/>
        <w:rPr>
          <w:sz w:val="22"/>
        </w:rPr>
      </w:pPr>
    </w:p>
    <w:p w14:paraId="56F99CE3" w14:textId="53D4D822" w:rsidR="00BB4F81" w:rsidRDefault="00BB4F81" w:rsidP="002071E3">
      <w:pPr>
        <w:pStyle w:val="NoSpacing"/>
        <w:numPr>
          <w:ilvl w:val="0"/>
          <w:numId w:val="37"/>
        </w:numPr>
        <w:jc w:val="both"/>
        <w:rPr>
          <w:sz w:val="22"/>
        </w:rPr>
      </w:pPr>
      <w:r w:rsidRPr="00690E19">
        <w:rPr>
          <w:b/>
          <w:i/>
          <w:sz w:val="22"/>
        </w:rPr>
        <w:t>Delay Sale of Depreciated Assets</w:t>
      </w:r>
      <w:r w:rsidR="000625AE">
        <w:rPr>
          <w:i/>
          <w:sz w:val="22"/>
        </w:rPr>
        <w:t>:</w:t>
      </w:r>
      <w:r w:rsidR="000625AE">
        <w:rPr>
          <w:sz w:val="22"/>
        </w:rPr>
        <w:t xml:space="preserve">  consider postponing sale of depreciated assets until after residency established in order to offset losses against expected U.S. gross income.</w:t>
      </w:r>
    </w:p>
    <w:p w14:paraId="410497F1" w14:textId="77777777" w:rsidR="000625AE" w:rsidRDefault="000625AE" w:rsidP="00BB4F81">
      <w:pPr>
        <w:pStyle w:val="NoSpacing"/>
        <w:jc w:val="both"/>
        <w:rPr>
          <w:sz w:val="22"/>
        </w:rPr>
      </w:pPr>
    </w:p>
    <w:p w14:paraId="6845CC78" w14:textId="2828310C" w:rsidR="000625AE" w:rsidRDefault="000625AE" w:rsidP="002071E3">
      <w:pPr>
        <w:pStyle w:val="NoSpacing"/>
        <w:numPr>
          <w:ilvl w:val="0"/>
          <w:numId w:val="37"/>
        </w:numPr>
        <w:jc w:val="both"/>
        <w:rPr>
          <w:sz w:val="22"/>
        </w:rPr>
      </w:pPr>
      <w:r w:rsidRPr="00690E19">
        <w:rPr>
          <w:b/>
          <w:i/>
          <w:sz w:val="22"/>
        </w:rPr>
        <w:t>Acceleration of Installment Sale Income</w:t>
      </w:r>
      <w:r>
        <w:rPr>
          <w:i/>
          <w:sz w:val="22"/>
        </w:rPr>
        <w:t>:</w:t>
      </w:r>
      <w:r>
        <w:rPr>
          <w:sz w:val="22"/>
        </w:rPr>
        <w:t xml:space="preserve"> </w:t>
      </w:r>
      <w:r w:rsidR="00973874">
        <w:rPr>
          <w:sz w:val="22"/>
        </w:rPr>
        <w:t xml:space="preserve">Generally, the Code requires election out of installment sale treatment to be made on the U.S. income tax return filed for </w:t>
      </w:r>
      <w:r w:rsidR="00044597">
        <w:rPr>
          <w:sz w:val="22"/>
        </w:rPr>
        <w:t xml:space="preserve">the </w:t>
      </w:r>
      <w:r w:rsidR="00973874">
        <w:rPr>
          <w:sz w:val="22"/>
        </w:rPr>
        <w:t xml:space="preserve">sale year.  </w:t>
      </w:r>
      <w:r w:rsidR="00973874">
        <w:rPr>
          <w:i/>
          <w:sz w:val="22"/>
        </w:rPr>
        <w:t>See, e.g.,</w:t>
      </w:r>
      <w:r w:rsidR="00973874">
        <w:rPr>
          <w:sz w:val="22"/>
        </w:rPr>
        <w:t xml:space="preserve"> PLR 9412008 and PLR 8708002.  Therefore,</w:t>
      </w:r>
      <w:r>
        <w:rPr>
          <w:sz w:val="22"/>
        </w:rPr>
        <w:t xml:space="preserve"> if </w:t>
      </w:r>
      <w:r w:rsidR="00973874">
        <w:rPr>
          <w:sz w:val="22"/>
        </w:rPr>
        <w:t xml:space="preserve">the </w:t>
      </w:r>
      <w:r>
        <w:rPr>
          <w:sz w:val="22"/>
        </w:rPr>
        <w:t>Alien has elected installment sale treatment on a pre-move sale, consider electing out of installment treatment upon filing of first U.S. resident alien income tax return.  Such an election will avoid U.S. taxation of post-residency installment sale collections</w:t>
      </w:r>
      <w:r w:rsidR="00973874">
        <w:rPr>
          <w:sz w:val="22"/>
        </w:rPr>
        <w:t>.</w:t>
      </w:r>
    </w:p>
    <w:p w14:paraId="58C20237" w14:textId="77777777" w:rsidR="007C172C" w:rsidRDefault="007C172C" w:rsidP="00BB4F81">
      <w:pPr>
        <w:pStyle w:val="NoSpacing"/>
        <w:jc w:val="both"/>
        <w:rPr>
          <w:sz w:val="22"/>
        </w:rPr>
      </w:pPr>
    </w:p>
    <w:p w14:paraId="25DBE407" w14:textId="1A2308CF" w:rsidR="007C172C" w:rsidRDefault="007C172C" w:rsidP="002071E3">
      <w:pPr>
        <w:pStyle w:val="NoSpacing"/>
        <w:numPr>
          <w:ilvl w:val="0"/>
          <w:numId w:val="37"/>
        </w:numPr>
        <w:jc w:val="both"/>
        <w:rPr>
          <w:sz w:val="22"/>
        </w:rPr>
      </w:pPr>
      <w:r w:rsidRPr="00690E19">
        <w:rPr>
          <w:b/>
          <w:i/>
          <w:sz w:val="22"/>
        </w:rPr>
        <w:t>Transfer Tax Planning</w:t>
      </w:r>
      <w:r>
        <w:rPr>
          <w:i/>
          <w:sz w:val="22"/>
        </w:rPr>
        <w:t>:</w:t>
      </w:r>
      <w:r>
        <w:rPr>
          <w:sz w:val="22"/>
        </w:rPr>
        <w:t xml:space="preserve">  Alien should also consider means to avoid U.S estate and gift taxes which become applicable upon </w:t>
      </w:r>
      <w:r w:rsidR="008C5E83">
        <w:rPr>
          <w:sz w:val="22"/>
        </w:rPr>
        <w:t xml:space="preserve">establishment of domicile.  Formation of a “drop-off trust” before </w:t>
      </w:r>
      <w:r w:rsidR="00834ABE">
        <w:rPr>
          <w:sz w:val="22"/>
        </w:rPr>
        <w:t>moving to</w:t>
      </w:r>
      <w:r w:rsidR="008C5E83">
        <w:rPr>
          <w:sz w:val="22"/>
        </w:rPr>
        <w:t xml:space="preserve"> U.S. may be a viable alternative.  </w:t>
      </w:r>
      <w:r w:rsidR="008C5E83">
        <w:rPr>
          <w:i/>
          <w:sz w:val="22"/>
        </w:rPr>
        <w:t>See,</w:t>
      </w:r>
      <w:r w:rsidR="008C5E83">
        <w:rPr>
          <w:sz w:val="22"/>
        </w:rPr>
        <w:t xml:space="preserve"> Bissell, </w:t>
      </w:r>
      <w:r w:rsidR="008C5E83">
        <w:rPr>
          <w:i/>
          <w:sz w:val="22"/>
        </w:rPr>
        <w:t xml:space="preserve">Some </w:t>
      </w:r>
      <w:r w:rsidR="00AE2FA1">
        <w:rPr>
          <w:i/>
          <w:sz w:val="22"/>
        </w:rPr>
        <w:t>C</w:t>
      </w:r>
      <w:r w:rsidR="008C5E83">
        <w:rPr>
          <w:i/>
          <w:sz w:val="22"/>
        </w:rPr>
        <w:t>autionary Comments on “Drop-Off Trusts” for Incoming Aliens,</w:t>
      </w:r>
      <w:r w:rsidR="008C5E83">
        <w:rPr>
          <w:sz w:val="22"/>
        </w:rPr>
        <w:t xml:space="preserve"> 42 Tax Mgmt. Int’l 697 (Nov. 2013); 903 T. M., </w:t>
      </w:r>
      <w:r w:rsidR="008C5E83">
        <w:rPr>
          <w:i/>
          <w:sz w:val="22"/>
        </w:rPr>
        <w:t>Tax Planning for Portfolio Investment Into the United States by Foreign Individuals.</w:t>
      </w:r>
    </w:p>
    <w:p w14:paraId="4E27D82F" w14:textId="77777777" w:rsidR="004A502E" w:rsidRDefault="004A502E" w:rsidP="004A502E">
      <w:pPr>
        <w:pStyle w:val="NoSpacing"/>
        <w:ind w:left="720"/>
        <w:jc w:val="both"/>
        <w:rPr>
          <w:sz w:val="22"/>
        </w:rPr>
      </w:pPr>
    </w:p>
    <w:p w14:paraId="4C9BD09A" w14:textId="77777777" w:rsidR="0080716A" w:rsidRDefault="0080716A" w:rsidP="00BB4F81">
      <w:pPr>
        <w:pStyle w:val="NoSpacing"/>
        <w:jc w:val="both"/>
        <w:rPr>
          <w:sz w:val="22"/>
        </w:rPr>
      </w:pPr>
    </w:p>
    <w:p w14:paraId="109E93F7" w14:textId="28EE668A" w:rsidR="0080716A" w:rsidRDefault="0080716A" w:rsidP="00BB4F81">
      <w:pPr>
        <w:pStyle w:val="NoSpacing"/>
        <w:jc w:val="both"/>
        <w:rPr>
          <w:sz w:val="22"/>
        </w:rPr>
      </w:pPr>
      <w:r>
        <w:rPr>
          <w:sz w:val="22"/>
        </w:rPr>
        <w:t>III.  “NONRESIDENT OR RESIDENT”</w:t>
      </w:r>
      <w:r w:rsidR="00044597">
        <w:rPr>
          <w:sz w:val="22"/>
        </w:rPr>
        <w:t xml:space="preserve"> FOR TRANSFER TAX PURPOSES</w:t>
      </w:r>
    </w:p>
    <w:p w14:paraId="7F617721" w14:textId="77777777" w:rsidR="0080716A" w:rsidRDefault="0080716A" w:rsidP="00BB4F81">
      <w:pPr>
        <w:pStyle w:val="NoSpacing"/>
        <w:jc w:val="both"/>
        <w:rPr>
          <w:sz w:val="22"/>
        </w:rPr>
      </w:pPr>
    </w:p>
    <w:p w14:paraId="59242BFE" w14:textId="57FE2A4F" w:rsidR="0080716A" w:rsidRDefault="0080716A" w:rsidP="00BB4F81">
      <w:pPr>
        <w:pStyle w:val="NoSpacing"/>
        <w:jc w:val="both"/>
        <w:rPr>
          <w:sz w:val="22"/>
        </w:rPr>
      </w:pPr>
      <w:r>
        <w:rPr>
          <w:sz w:val="22"/>
        </w:rPr>
        <w:t xml:space="preserve">A.  </w:t>
      </w:r>
      <w:r>
        <w:rPr>
          <w:sz w:val="22"/>
          <w:u w:val="single"/>
        </w:rPr>
        <w:t>General Principle</w:t>
      </w:r>
      <w:r>
        <w:rPr>
          <w:sz w:val="22"/>
        </w:rPr>
        <w:t>.  Only “citizens” and “residents” are subject to the U.S. transfer tax on their worldwide assets.  Nonresidents and noncitizens are subject to transfer tax on U.S. situs assets.</w:t>
      </w:r>
    </w:p>
    <w:p w14:paraId="125B6A00" w14:textId="77777777" w:rsidR="0080716A" w:rsidRDefault="0080716A" w:rsidP="00BB4F81">
      <w:pPr>
        <w:pStyle w:val="NoSpacing"/>
        <w:jc w:val="both"/>
        <w:rPr>
          <w:sz w:val="22"/>
        </w:rPr>
      </w:pPr>
    </w:p>
    <w:p w14:paraId="085D4F06" w14:textId="77777777" w:rsidR="00047EF6" w:rsidRDefault="0080716A" w:rsidP="00047EF6">
      <w:pPr>
        <w:pStyle w:val="NoSpacing"/>
        <w:jc w:val="both"/>
        <w:rPr>
          <w:rFonts w:cs="Times New Roman"/>
          <w:sz w:val="22"/>
        </w:rPr>
      </w:pPr>
      <w:r>
        <w:rPr>
          <w:sz w:val="22"/>
        </w:rPr>
        <w:t xml:space="preserve">B.  </w:t>
      </w:r>
      <w:r w:rsidR="00047EF6" w:rsidRPr="00EA36E6">
        <w:rPr>
          <w:sz w:val="22"/>
          <w:u w:val="single"/>
        </w:rPr>
        <w:t>Definition</w:t>
      </w:r>
      <w:r w:rsidR="00047EF6">
        <w:rPr>
          <w:sz w:val="22"/>
        </w:rPr>
        <w:t xml:space="preserve">.  A “nonresident” alien is an individual who is not a U.S. citizen and who is not domiciled in the U.S. at the time of the gift.  </w:t>
      </w:r>
      <w:r w:rsidR="00047EF6">
        <w:rPr>
          <w:rFonts w:cs="Times New Roman"/>
          <w:i/>
          <w:sz w:val="22"/>
        </w:rPr>
        <w:t xml:space="preserve">See, Regs. </w:t>
      </w:r>
      <w:r w:rsidR="00047EF6">
        <w:rPr>
          <w:rFonts w:cs="Times New Roman"/>
          <w:sz w:val="22"/>
        </w:rPr>
        <w:t>§25.2501-1(b).</w:t>
      </w:r>
    </w:p>
    <w:p w14:paraId="7380C558" w14:textId="77777777" w:rsidR="00047EF6" w:rsidRDefault="00047EF6" w:rsidP="00047EF6">
      <w:pPr>
        <w:pStyle w:val="NoSpacing"/>
        <w:jc w:val="both"/>
        <w:rPr>
          <w:rFonts w:cs="Times New Roman"/>
          <w:sz w:val="22"/>
        </w:rPr>
      </w:pPr>
    </w:p>
    <w:p w14:paraId="6DE04B6B" w14:textId="77777777" w:rsidR="00047EF6" w:rsidRPr="00A16CF6" w:rsidRDefault="00047EF6" w:rsidP="00047EF6">
      <w:pPr>
        <w:pStyle w:val="NoSpacing"/>
        <w:numPr>
          <w:ilvl w:val="0"/>
          <w:numId w:val="11"/>
        </w:numPr>
        <w:jc w:val="both"/>
        <w:rPr>
          <w:sz w:val="22"/>
        </w:rPr>
      </w:pPr>
      <w:r>
        <w:rPr>
          <w:i/>
          <w:sz w:val="22"/>
        </w:rPr>
        <w:t>“Resident”</w:t>
      </w:r>
      <w:r>
        <w:rPr>
          <w:sz w:val="22"/>
        </w:rPr>
        <w:t>:  as indicated above, the definition for income tax purposes is not the same as for transfer tax purposes.</w:t>
      </w:r>
    </w:p>
    <w:p w14:paraId="50BA30FF" w14:textId="77777777" w:rsidR="00047EF6" w:rsidRDefault="00047EF6" w:rsidP="00047EF6">
      <w:pPr>
        <w:pStyle w:val="NoSpacing"/>
        <w:ind w:left="720"/>
        <w:jc w:val="both"/>
        <w:rPr>
          <w:sz w:val="22"/>
        </w:rPr>
      </w:pPr>
    </w:p>
    <w:p w14:paraId="11F67A7C" w14:textId="77777777" w:rsidR="00047EF6" w:rsidRDefault="00047EF6" w:rsidP="00047EF6">
      <w:pPr>
        <w:pStyle w:val="NoSpacing"/>
        <w:numPr>
          <w:ilvl w:val="0"/>
          <w:numId w:val="11"/>
        </w:numPr>
        <w:jc w:val="both"/>
        <w:rPr>
          <w:sz w:val="22"/>
        </w:rPr>
      </w:pPr>
      <w:r>
        <w:rPr>
          <w:sz w:val="22"/>
        </w:rPr>
        <w:t>“Resident” = “domiciliary”</w:t>
      </w:r>
    </w:p>
    <w:p w14:paraId="37C5A457" w14:textId="77777777" w:rsidR="00047EF6" w:rsidRDefault="00047EF6" w:rsidP="00047EF6">
      <w:pPr>
        <w:pStyle w:val="NoSpacing"/>
        <w:ind w:left="720"/>
        <w:jc w:val="both"/>
        <w:rPr>
          <w:sz w:val="22"/>
        </w:rPr>
      </w:pPr>
    </w:p>
    <w:p w14:paraId="343E6769" w14:textId="77777777" w:rsidR="00047EF6" w:rsidRDefault="00047EF6" w:rsidP="00047EF6">
      <w:pPr>
        <w:pStyle w:val="NoSpacing"/>
        <w:numPr>
          <w:ilvl w:val="0"/>
          <w:numId w:val="11"/>
        </w:numPr>
        <w:jc w:val="both"/>
        <w:rPr>
          <w:sz w:val="22"/>
        </w:rPr>
      </w:pPr>
      <w:r>
        <w:rPr>
          <w:sz w:val="22"/>
        </w:rPr>
        <w:t>“</w:t>
      </w:r>
      <w:r>
        <w:rPr>
          <w:i/>
          <w:sz w:val="22"/>
        </w:rPr>
        <w:t>Domicile”</w:t>
      </w:r>
      <w:r>
        <w:rPr>
          <w:sz w:val="22"/>
        </w:rPr>
        <w:t>:  Code offers no definition.  Regulations attempt to fill void:</w:t>
      </w:r>
    </w:p>
    <w:p w14:paraId="5911FDC3" w14:textId="77777777" w:rsidR="00047EF6" w:rsidRDefault="00047EF6" w:rsidP="00047EF6">
      <w:pPr>
        <w:pStyle w:val="NoSpacing"/>
        <w:ind w:left="720"/>
        <w:jc w:val="both"/>
        <w:rPr>
          <w:sz w:val="22"/>
        </w:rPr>
      </w:pPr>
    </w:p>
    <w:p w14:paraId="2240FAC8" w14:textId="77777777" w:rsidR="00047EF6" w:rsidRDefault="00047EF6" w:rsidP="00047EF6">
      <w:pPr>
        <w:pStyle w:val="NoSpacing"/>
        <w:ind w:left="720" w:right="720"/>
        <w:jc w:val="both"/>
        <w:rPr>
          <w:sz w:val="22"/>
        </w:rPr>
      </w:pPr>
      <w:r>
        <w:rPr>
          <w:sz w:val="22"/>
        </w:rPr>
        <w:t xml:space="preserve">A person acquires a domicile in a place by </w:t>
      </w:r>
      <w:r w:rsidRPr="000D45BE">
        <w:rPr>
          <w:i/>
          <w:sz w:val="22"/>
        </w:rPr>
        <w:t>living there</w:t>
      </w:r>
      <w:r>
        <w:rPr>
          <w:sz w:val="22"/>
        </w:rPr>
        <w:t xml:space="preserve">, “for even a brief period of time, with no definite present intention of moving from that place.”  </w:t>
      </w:r>
      <w:r w:rsidRPr="00F72F0D">
        <w:rPr>
          <w:i/>
          <w:sz w:val="22"/>
        </w:rPr>
        <w:t>See</w:t>
      </w:r>
      <w:r>
        <w:rPr>
          <w:sz w:val="22"/>
        </w:rPr>
        <w:t xml:space="preserve">, 2016 Form 709 Instructions, Part 1.  Residence without the requisite </w:t>
      </w:r>
      <w:r w:rsidRPr="000D45BE">
        <w:rPr>
          <w:i/>
          <w:sz w:val="22"/>
        </w:rPr>
        <w:t>intention to remain indefinitely</w:t>
      </w:r>
      <w:r>
        <w:rPr>
          <w:sz w:val="22"/>
        </w:rPr>
        <w:t xml:space="preserve"> will not suffice to constitute domicile, nor will intention to change domicile effect such a change unless accompanied by actual removal.  Regs. </w:t>
      </w:r>
      <w:r>
        <w:rPr>
          <w:rFonts w:cs="Times New Roman"/>
          <w:sz w:val="22"/>
        </w:rPr>
        <w:t>§</w:t>
      </w:r>
      <w:r>
        <w:rPr>
          <w:sz w:val="22"/>
        </w:rPr>
        <w:t>20.0-1(b)(1).</w:t>
      </w:r>
    </w:p>
    <w:p w14:paraId="31E19570" w14:textId="77777777" w:rsidR="00047EF6" w:rsidRDefault="00047EF6" w:rsidP="00047EF6">
      <w:pPr>
        <w:pStyle w:val="NoSpacing"/>
        <w:ind w:left="720" w:right="720"/>
        <w:jc w:val="both"/>
        <w:rPr>
          <w:sz w:val="22"/>
        </w:rPr>
      </w:pPr>
    </w:p>
    <w:p w14:paraId="362EA7CE" w14:textId="77777777" w:rsidR="00047EF6" w:rsidRDefault="00047EF6" w:rsidP="00047EF6">
      <w:pPr>
        <w:pStyle w:val="NoSpacing"/>
        <w:numPr>
          <w:ilvl w:val="1"/>
          <w:numId w:val="11"/>
        </w:numPr>
        <w:ind w:right="720"/>
        <w:jc w:val="both"/>
        <w:rPr>
          <w:sz w:val="22"/>
        </w:rPr>
      </w:pPr>
      <w:r>
        <w:rPr>
          <w:sz w:val="22"/>
          <w:u w:val="single"/>
        </w:rPr>
        <w:t>Two Essential Elements</w:t>
      </w:r>
      <w:r>
        <w:rPr>
          <w:sz w:val="22"/>
        </w:rPr>
        <w:t xml:space="preserve">:  </w:t>
      </w:r>
      <w:r w:rsidRPr="007B2BF7">
        <w:rPr>
          <w:b/>
          <w:sz w:val="22"/>
        </w:rPr>
        <w:t>physical presence</w:t>
      </w:r>
      <w:r>
        <w:rPr>
          <w:sz w:val="22"/>
        </w:rPr>
        <w:t xml:space="preserve"> +</w:t>
      </w:r>
      <w:r w:rsidRPr="007B2BF7">
        <w:rPr>
          <w:b/>
          <w:sz w:val="22"/>
        </w:rPr>
        <w:t xml:space="preserve"> intent</w:t>
      </w:r>
      <w:r>
        <w:rPr>
          <w:sz w:val="22"/>
        </w:rPr>
        <w:t>.</w:t>
      </w:r>
    </w:p>
    <w:p w14:paraId="36E85391" w14:textId="77777777" w:rsidR="00047EF6" w:rsidRDefault="00047EF6" w:rsidP="00047EF6">
      <w:pPr>
        <w:pStyle w:val="NoSpacing"/>
        <w:ind w:left="1440" w:right="720"/>
        <w:jc w:val="both"/>
        <w:rPr>
          <w:sz w:val="22"/>
        </w:rPr>
      </w:pPr>
    </w:p>
    <w:p w14:paraId="09DAB154" w14:textId="3A2C6B5D" w:rsidR="00047EF6" w:rsidRDefault="00047EF6" w:rsidP="00047EF6">
      <w:pPr>
        <w:pStyle w:val="NoSpacing"/>
        <w:numPr>
          <w:ilvl w:val="1"/>
          <w:numId w:val="11"/>
        </w:numPr>
        <w:ind w:right="720"/>
        <w:jc w:val="both"/>
        <w:rPr>
          <w:sz w:val="22"/>
        </w:rPr>
      </w:pPr>
      <w:r>
        <w:rPr>
          <w:sz w:val="22"/>
          <w:u w:val="single"/>
        </w:rPr>
        <w:t>Interpretation</w:t>
      </w:r>
      <w:r>
        <w:rPr>
          <w:sz w:val="22"/>
        </w:rPr>
        <w:t xml:space="preserve">:  facts and circumstances test and case law covers broad spectrum.   </w:t>
      </w:r>
      <w:r>
        <w:rPr>
          <w:i/>
          <w:sz w:val="22"/>
        </w:rPr>
        <w:t>See, e.g.,</w:t>
      </w:r>
      <w:r>
        <w:rPr>
          <w:sz w:val="22"/>
        </w:rPr>
        <w:t xml:space="preserve"> </w:t>
      </w:r>
      <w:r>
        <w:rPr>
          <w:i/>
          <w:sz w:val="22"/>
        </w:rPr>
        <w:t>Khan Estate v. Comm’r,</w:t>
      </w:r>
      <w:r>
        <w:rPr>
          <w:sz w:val="22"/>
        </w:rPr>
        <w:t xml:space="preserve"> T.C.M. 1998-22 (full unified credit entitlement</w:t>
      </w:r>
      <w:r w:rsidR="00834ABE">
        <w:rPr>
          <w:sz w:val="22"/>
        </w:rPr>
        <w:t xml:space="preserve"> for Pakistani who spent last 3 years of life in home country but had filed nonresident tax returns for 1986-1990</w:t>
      </w:r>
      <w:r>
        <w:rPr>
          <w:sz w:val="22"/>
        </w:rPr>
        <w:t xml:space="preserve">);  </w:t>
      </w:r>
      <w:r>
        <w:rPr>
          <w:i/>
          <w:sz w:val="22"/>
        </w:rPr>
        <w:t xml:space="preserve">Paquette Estate v. Comm’r, </w:t>
      </w:r>
      <w:r>
        <w:rPr>
          <w:sz w:val="22"/>
        </w:rPr>
        <w:t>T.C.M. 1983-571 (long stay</w:t>
      </w:r>
      <w:r w:rsidR="00834ABE">
        <w:rPr>
          <w:sz w:val="22"/>
        </w:rPr>
        <w:t>s</w:t>
      </w:r>
      <w:r>
        <w:rPr>
          <w:sz w:val="22"/>
        </w:rPr>
        <w:t xml:space="preserve"> in </w:t>
      </w:r>
      <w:r w:rsidR="00834ABE">
        <w:rPr>
          <w:sz w:val="22"/>
        </w:rPr>
        <w:t>Florida during winter months</w:t>
      </w:r>
      <w:r>
        <w:rPr>
          <w:sz w:val="22"/>
        </w:rPr>
        <w:t xml:space="preserve"> outweighed by other factors</w:t>
      </w:r>
      <w:r w:rsidR="00834ABE">
        <w:rPr>
          <w:sz w:val="22"/>
        </w:rPr>
        <w:t xml:space="preserve"> and domicile held to be in Canada</w:t>
      </w:r>
      <w:r>
        <w:rPr>
          <w:sz w:val="22"/>
        </w:rPr>
        <w:t xml:space="preserve">); </w:t>
      </w:r>
      <w:r>
        <w:rPr>
          <w:i/>
          <w:sz w:val="22"/>
        </w:rPr>
        <w:t>Nienhuys v. Comm’r,</w:t>
      </w:r>
      <w:r>
        <w:rPr>
          <w:sz w:val="22"/>
        </w:rPr>
        <w:t xml:space="preserve"> 17 T.C. 1149 </w:t>
      </w:r>
      <w:r>
        <w:rPr>
          <w:sz w:val="22"/>
        </w:rPr>
        <w:lastRenderedPageBreak/>
        <w:t>(1952) (</w:t>
      </w:r>
      <w:r w:rsidR="00834ABE">
        <w:rPr>
          <w:sz w:val="22"/>
        </w:rPr>
        <w:t>Dutch citizen in U.S. from 1940-1946</w:t>
      </w:r>
      <w:r>
        <w:rPr>
          <w:sz w:val="22"/>
        </w:rPr>
        <w:t xml:space="preserve"> unable to return home because of war</w:t>
      </w:r>
      <w:r w:rsidR="00834ABE">
        <w:rPr>
          <w:sz w:val="22"/>
        </w:rPr>
        <w:t xml:space="preserve"> found to be a nonresident</w:t>
      </w:r>
      <w:r>
        <w:rPr>
          <w:sz w:val="22"/>
        </w:rPr>
        <w:t xml:space="preserve">); </w:t>
      </w:r>
      <w:r>
        <w:rPr>
          <w:i/>
          <w:sz w:val="22"/>
        </w:rPr>
        <w:t>Fokker Estate v Comm’r,</w:t>
      </w:r>
      <w:r>
        <w:rPr>
          <w:sz w:val="22"/>
        </w:rPr>
        <w:t xml:space="preserve"> 10 T.C. 1225 (1948); </w:t>
      </w:r>
      <w:r>
        <w:rPr>
          <w:i/>
          <w:sz w:val="22"/>
        </w:rPr>
        <w:t>Cooper v. Reynolds,</w:t>
      </w:r>
      <w:r>
        <w:rPr>
          <w:sz w:val="22"/>
        </w:rPr>
        <w:t xml:space="preserve"> 24 F.2d 150 (D. Wyo. 1927) (short presence before accidental death overcome by factors indicating intent to stay).</w:t>
      </w:r>
    </w:p>
    <w:p w14:paraId="25D19A37" w14:textId="77777777" w:rsidR="00047EF6" w:rsidRDefault="00047EF6" w:rsidP="00047EF6">
      <w:pPr>
        <w:pStyle w:val="NoSpacing"/>
        <w:ind w:right="720"/>
        <w:jc w:val="both"/>
        <w:rPr>
          <w:sz w:val="22"/>
        </w:rPr>
      </w:pPr>
    </w:p>
    <w:p w14:paraId="3A671748" w14:textId="77777777" w:rsidR="00047EF6" w:rsidRDefault="00047EF6" w:rsidP="00047EF6">
      <w:pPr>
        <w:pStyle w:val="NoSpacing"/>
        <w:numPr>
          <w:ilvl w:val="0"/>
          <w:numId w:val="18"/>
        </w:numPr>
        <w:jc w:val="both"/>
        <w:rPr>
          <w:sz w:val="22"/>
        </w:rPr>
      </w:pPr>
      <w:r>
        <w:rPr>
          <w:sz w:val="22"/>
          <w:u w:val="single"/>
        </w:rPr>
        <w:t>Treaty Override</w:t>
      </w:r>
      <w:r>
        <w:rPr>
          <w:sz w:val="22"/>
        </w:rPr>
        <w:t>?  Intended to avoid double taxation.</w:t>
      </w:r>
      <w:r w:rsidRPr="00512647">
        <w:rPr>
          <w:sz w:val="22"/>
        </w:rPr>
        <w:t xml:space="preserve"> </w:t>
      </w:r>
      <w:r>
        <w:rPr>
          <w:sz w:val="22"/>
        </w:rPr>
        <w:t xml:space="preserve">Pre-1956 treaties are </w:t>
      </w:r>
      <w:r w:rsidRPr="00572186">
        <w:rPr>
          <w:i/>
          <w:sz w:val="22"/>
        </w:rPr>
        <w:t>situs-type</w:t>
      </w:r>
      <w:r>
        <w:rPr>
          <w:sz w:val="22"/>
        </w:rPr>
        <w:t xml:space="preserve"> and subsequent treaties have been based upon </w:t>
      </w:r>
      <w:r w:rsidRPr="00572186">
        <w:rPr>
          <w:i/>
          <w:sz w:val="22"/>
        </w:rPr>
        <w:t>domicile</w:t>
      </w:r>
      <w:r>
        <w:rPr>
          <w:sz w:val="22"/>
        </w:rPr>
        <w:t>.</w:t>
      </w:r>
    </w:p>
    <w:p w14:paraId="1FF4F2EF" w14:textId="77777777" w:rsidR="00047EF6" w:rsidRDefault="00047EF6" w:rsidP="00047EF6">
      <w:pPr>
        <w:pStyle w:val="NoSpacing"/>
        <w:ind w:left="720"/>
        <w:jc w:val="both"/>
        <w:rPr>
          <w:sz w:val="22"/>
        </w:rPr>
      </w:pPr>
    </w:p>
    <w:p w14:paraId="13188322" w14:textId="77777777" w:rsidR="00047EF6" w:rsidRPr="00572186" w:rsidRDefault="00047EF6" w:rsidP="00047EF6">
      <w:pPr>
        <w:pStyle w:val="NoSpacing"/>
        <w:numPr>
          <w:ilvl w:val="1"/>
          <w:numId w:val="18"/>
        </w:numPr>
        <w:jc w:val="both"/>
        <w:rPr>
          <w:rFonts w:eastAsia="Times New Roman" w:cs="Times New Roman"/>
          <w:sz w:val="22"/>
        </w:rPr>
      </w:pPr>
      <w:r w:rsidRPr="00572186">
        <w:rPr>
          <w:i/>
          <w:sz w:val="22"/>
        </w:rPr>
        <w:t>Situs Principle</w:t>
      </w:r>
      <w:r w:rsidRPr="00572186">
        <w:rPr>
          <w:sz w:val="22"/>
        </w:rPr>
        <w:t xml:space="preserve">.  The physical location of the asset determines the taxing authority.  </w:t>
      </w:r>
    </w:p>
    <w:p w14:paraId="2E6B6DB1" w14:textId="77777777" w:rsidR="00047EF6" w:rsidRPr="00572186" w:rsidRDefault="00047EF6" w:rsidP="00047EF6">
      <w:pPr>
        <w:pStyle w:val="NoSpacing"/>
        <w:jc w:val="both"/>
      </w:pPr>
    </w:p>
    <w:p w14:paraId="6A5BFDEF" w14:textId="77777777" w:rsidR="00047EF6" w:rsidRDefault="00047EF6" w:rsidP="00047EF6">
      <w:pPr>
        <w:pStyle w:val="NoSpacing"/>
        <w:numPr>
          <w:ilvl w:val="1"/>
          <w:numId w:val="18"/>
        </w:numPr>
        <w:jc w:val="both"/>
        <w:rPr>
          <w:sz w:val="22"/>
        </w:rPr>
      </w:pPr>
      <w:r w:rsidRPr="00142812">
        <w:rPr>
          <w:i/>
          <w:sz w:val="22"/>
        </w:rPr>
        <w:t xml:space="preserve">Domicile.  </w:t>
      </w:r>
      <w:r w:rsidRPr="00142812">
        <w:rPr>
          <w:sz w:val="22"/>
        </w:rPr>
        <w:t xml:space="preserve">Under a domicile-type treaty, the decedent’s country of “domicile” establishes the taxing authority. </w:t>
      </w:r>
    </w:p>
    <w:p w14:paraId="6629A379" w14:textId="77777777" w:rsidR="00047EF6" w:rsidRDefault="00047EF6" w:rsidP="00047EF6">
      <w:pPr>
        <w:pStyle w:val="NoSpacing"/>
        <w:ind w:left="720"/>
        <w:jc w:val="both"/>
        <w:rPr>
          <w:sz w:val="22"/>
        </w:rPr>
      </w:pPr>
    </w:p>
    <w:p w14:paraId="66713724" w14:textId="77777777" w:rsidR="00047EF6" w:rsidRDefault="00047EF6" w:rsidP="00047EF6">
      <w:pPr>
        <w:pStyle w:val="NoSpacing"/>
        <w:numPr>
          <w:ilvl w:val="0"/>
          <w:numId w:val="19"/>
        </w:numPr>
        <w:ind w:left="1440"/>
        <w:jc w:val="both"/>
        <w:rPr>
          <w:sz w:val="22"/>
        </w:rPr>
      </w:pPr>
      <w:r>
        <w:rPr>
          <w:sz w:val="22"/>
        </w:rPr>
        <w:t>These treaties</w:t>
      </w:r>
      <w:r w:rsidRPr="00142812">
        <w:rPr>
          <w:sz w:val="22"/>
        </w:rPr>
        <w:t xml:space="preserve"> </w:t>
      </w:r>
      <w:r>
        <w:rPr>
          <w:sz w:val="22"/>
        </w:rPr>
        <w:t>are also intended to avoid</w:t>
      </w:r>
      <w:r w:rsidRPr="00142812">
        <w:rPr>
          <w:sz w:val="22"/>
        </w:rPr>
        <w:t xml:space="preserve"> a major complication inherent in situs-type treaties</w:t>
      </w:r>
      <w:r>
        <w:rPr>
          <w:sz w:val="22"/>
        </w:rPr>
        <w:t xml:space="preserve"> — </w:t>
      </w:r>
      <w:r w:rsidRPr="00142812">
        <w:rPr>
          <w:sz w:val="22"/>
        </w:rPr>
        <w:t xml:space="preserve">the need to determine a situs for each </w:t>
      </w:r>
      <w:r>
        <w:rPr>
          <w:sz w:val="22"/>
        </w:rPr>
        <w:t>asset of the</w:t>
      </w:r>
      <w:r w:rsidRPr="00142812">
        <w:rPr>
          <w:sz w:val="22"/>
        </w:rPr>
        <w:t xml:space="preserve"> estate. Domicile-type treaties </w:t>
      </w:r>
      <w:r>
        <w:rPr>
          <w:sz w:val="22"/>
        </w:rPr>
        <w:t xml:space="preserve">seek to </w:t>
      </w:r>
      <w:r w:rsidRPr="00142812">
        <w:rPr>
          <w:sz w:val="22"/>
        </w:rPr>
        <w:t>avoid the issue</w:t>
      </w:r>
      <w:r>
        <w:rPr>
          <w:sz w:val="22"/>
        </w:rPr>
        <w:t xml:space="preserve"> </w:t>
      </w:r>
      <w:r w:rsidRPr="00142812">
        <w:rPr>
          <w:sz w:val="22"/>
        </w:rPr>
        <w:t>by allocating exclusive taxing jurisdiction to the treaty country of domicile.</w:t>
      </w:r>
    </w:p>
    <w:p w14:paraId="205D4648" w14:textId="77777777" w:rsidR="00047EF6" w:rsidRDefault="00047EF6" w:rsidP="00047EF6">
      <w:pPr>
        <w:pStyle w:val="NoSpacing"/>
        <w:ind w:left="1440"/>
        <w:jc w:val="both"/>
        <w:rPr>
          <w:sz w:val="22"/>
        </w:rPr>
      </w:pPr>
    </w:p>
    <w:p w14:paraId="355E08B5" w14:textId="77777777" w:rsidR="00047EF6" w:rsidRDefault="00047EF6" w:rsidP="00047EF6">
      <w:pPr>
        <w:pStyle w:val="NoSpacing"/>
        <w:numPr>
          <w:ilvl w:val="0"/>
          <w:numId w:val="19"/>
        </w:numPr>
        <w:ind w:left="1440"/>
        <w:jc w:val="both"/>
        <w:rPr>
          <w:sz w:val="22"/>
        </w:rPr>
      </w:pPr>
      <w:r w:rsidRPr="00142812">
        <w:rPr>
          <w:sz w:val="22"/>
        </w:rPr>
        <w:t xml:space="preserve">Because treaty countries may differ as to domicile, domicile-type treaties are commonly </w:t>
      </w:r>
      <w:r>
        <w:rPr>
          <w:sz w:val="22"/>
        </w:rPr>
        <w:t>contain</w:t>
      </w:r>
      <w:r w:rsidRPr="00142812">
        <w:rPr>
          <w:sz w:val="22"/>
        </w:rPr>
        <w:t xml:space="preserve"> “tie-breaker” rules to settle on a single domicile, known as the fiscal domicile. </w:t>
      </w:r>
    </w:p>
    <w:p w14:paraId="5CE0730E" w14:textId="77777777" w:rsidR="00044597" w:rsidRDefault="00044597" w:rsidP="00E33BDF">
      <w:pPr>
        <w:pStyle w:val="NoSpacing"/>
        <w:jc w:val="both"/>
        <w:rPr>
          <w:sz w:val="22"/>
        </w:rPr>
      </w:pPr>
    </w:p>
    <w:p w14:paraId="2BD8D830" w14:textId="31B9E392" w:rsidR="00870E97" w:rsidRDefault="00047EF6" w:rsidP="00E33BDF">
      <w:pPr>
        <w:pStyle w:val="NoSpacing"/>
        <w:jc w:val="both"/>
        <w:rPr>
          <w:sz w:val="22"/>
        </w:rPr>
      </w:pPr>
      <w:r>
        <w:rPr>
          <w:sz w:val="22"/>
        </w:rPr>
        <w:t>IV</w:t>
      </w:r>
      <w:r w:rsidR="003B3BC1">
        <w:rPr>
          <w:sz w:val="22"/>
        </w:rPr>
        <w:t>. GIFT</w:t>
      </w:r>
      <w:r w:rsidR="00E33BDF">
        <w:rPr>
          <w:sz w:val="22"/>
        </w:rPr>
        <w:t xml:space="preserve"> TAX</w:t>
      </w:r>
    </w:p>
    <w:p w14:paraId="38EA85FA" w14:textId="77777777" w:rsidR="00E33BDF" w:rsidRDefault="00E33BDF" w:rsidP="00E33BDF">
      <w:pPr>
        <w:pStyle w:val="NoSpacing"/>
        <w:jc w:val="both"/>
        <w:rPr>
          <w:sz w:val="22"/>
        </w:rPr>
      </w:pPr>
    </w:p>
    <w:p w14:paraId="182287D0" w14:textId="683E4F09" w:rsidR="00E33BDF" w:rsidRDefault="00690E19" w:rsidP="00E33BDF">
      <w:pPr>
        <w:pStyle w:val="NoSpacing"/>
        <w:jc w:val="both"/>
        <w:rPr>
          <w:sz w:val="22"/>
        </w:rPr>
      </w:pPr>
      <w:r>
        <w:rPr>
          <w:sz w:val="22"/>
        </w:rPr>
        <w:t>A.</w:t>
      </w:r>
      <w:r>
        <w:rPr>
          <w:sz w:val="22"/>
        </w:rPr>
        <w:tab/>
      </w:r>
      <w:r w:rsidR="00E33BDF" w:rsidRPr="00EA36E6">
        <w:rPr>
          <w:sz w:val="22"/>
          <w:u w:val="single"/>
        </w:rPr>
        <w:t>Focus of Discussion</w:t>
      </w:r>
      <w:r w:rsidR="00E33BDF">
        <w:rPr>
          <w:i/>
          <w:sz w:val="22"/>
        </w:rPr>
        <w:t>.</w:t>
      </w:r>
      <w:r w:rsidR="001724FD">
        <w:rPr>
          <w:sz w:val="22"/>
        </w:rPr>
        <w:t xml:space="preserve">  On </w:t>
      </w:r>
      <w:r w:rsidR="00167F06">
        <w:rPr>
          <w:sz w:val="22"/>
        </w:rPr>
        <w:t xml:space="preserve">individuals who are </w:t>
      </w:r>
      <w:r w:rsidR="00973874">
        <w:rPr>
          <w:sz w:val="22"/>
        </w:rPr>
        <w:t>neither</w:t>
      </w:r>
      <w:r w:rsidR="00167F06">
        <w:rPr>
          <w:sz w:val="22"/>
        </w:rPr>
        <w:t xml:space="preserve"> </w:t>
      </w:r>
      <w:r w:rsidR="006858FB">
        <w:rPr>
          <w:sz w:val="22"/>
        </w:rPr>
        <w:t xml:space="preserve">citizens nor </w:t>
      </w:r>
      <w:r w:rsidR="00167F06">
        <w:rPr>
          <w:sz w:val="22"/>
        </w:rPr>
        <w:t>“residents” of the U.S.</w:t>
      </w:r>
      <w:r w:rsidR="006858FB">
        <w:rPr>
          <w:sz w:val="22"/>
        </w:rPr>
        <w:t xml:space="preserve"> (the “NRNC”).</w:t>
      </w:r>
    </w:p>
    <w:p w14:paraId="7FC0EEAE" w14:textId="77777777" w:rsidR="00167F06" w:rsidRDefault="00167F06" w:rsidP="00E33BDF">
      <w:pPr>
        <w:pStyle w:val="NoSpacing"/>
        <w:jc w:val="both"/>
        <w:rPr>
          <w:sz w:val="22"/>
        </w:rPr>
      </w:pPr>
    </w:p>
    <w:p w14:paraId="7E96A585" w14:textId="167D6155" w:rsidR="009F6E31" w:rsidRDefault="004A502E" w:rsidP="009F6E31">
      <w:pPr>
        <w:pStyle w:val="NoSpacing"/>
        <w:jc w:val="both"/>
        <w:rPr>
          <w:sz w:val="22"/>
        </w:rPr>
      </w:pPr>
      <w:r>
        <w:rPr>
          <w:sz w:val="22"/>
        </w:rPr>
        <w:t>B</w:t>
      </w:r>
      <w:r w:rsidR="00690E19">
        <w:rPr>
          <w:sz w:val="22"/>
        </w:rPr>
        <w:t>.</w:t>
      </w:r>
      <w:r w:rsidR="00690E19">
        <w:rPr>
          <w:sz w:val="22"/>
        </w:rPr>
        <w:tab/>
      </w:r>
      <w:r w:rsidR="009F6E31" w:rsidRPr="00EA36E6">
        <w:rPr>
          <w:sz w:val="22"/>
          <w:u w:val="single"/>
        </w:rPr>
        <w:t>NR</w:t>
      </w:r>
      <w:r w:rsidR="006858FB">
        <w:rPr>
          <w:sz w:val="22"/>
          <w:u w:val="single"/>
        </w:rPr>
        <w:t xml:space="preserve">NC </w:t>
      </w:r>
      <w:r w:rsidR="006A56B3">
        <w:rPr>
          <w:sz w:val="22"/>
          <w:u w:val="single"/>
        </w:rPr>
        <w:t xml:space="preserve">Gift Tax </w:t>
      </w:r>
      <w:r w:rsidR="009F6E31" w:rsidRPr="00EA36E6">
        <w:rPr>
          <w:sz w:val="22"/>
          <w:u w:val="single"/>
        </w:rPr>
        <w:t>Taxability</w:t>
      </w:r>
      <w:r w:rsidR="009F6E31">
        <w:rPr>
          <w:sz w:val="22"/>
        </w:rPr>
        <w:t xml:space="preserve">.  </w:t>
      </w:r>
      <w:r w:rsidR="006858FB">
        <w:rPr>
          <w:sz w:val="22"/>
        </w:rPr>
        <w:t>Gift Tax applies to all transfers</w:t>
      </w:r>
      <w:r w:rsidR="002071E3">
        <w:rPr>
          <w:sz w:val="22"/>
        </w:rPr>
        <w:t xml:space="preserve"> made</w:t>
      </w:r>
      <w:r w:rsidR="006858FB">
        <w:rPr>
          <w:sz w:val="22"/>
        </w:rPr>
        <w:t>, direct</w:t>
      </w:r>
      <w:r w:rsidR="002071E3">
        <w:rPr>
          <w:sz w:val="22"/>
        </w:rPr>
        <w:t>ly</w:t>
      </w:r>
      <w:r w:rsidR="006858FB">
        <w:rPr>
          <w:sz w:val="22"/>
        </w:rPr>
        <w:t xml:space="preserve"> or indirect</w:t>
      </w:r>
      <w:r w:rsidR="002071E3">
        <w:rPr>
          <w:sz w:val="22"/>
        </w:rPr>
        <w:t>ly</w:t>
      </w:r>
      <w:r w:rsidR="006858FB">
        <w:rPr>
          <w:sz w:val="22"/>
        </w:rPr>
        <w:t>, of real or tangible (but no</w:t>
      </w:r>
      <w:r w:rsidR="00044597">
        <w:rPr>
          <w:sz w:val="22"/>
        </w:rPr>
        <w:t xml:space="preserve">t intangible) assets located in the </w:t>
      </w:r>
      <w:r w:rsidR="006858FB">
        <w:rPr>
          <w:sz w:val="22"/>
        </w:rPr>
        <w:t>U.S.  Therefore,</w:t>
      </w:r>
      <w:r w:rsidR="009F6E31">
        <w:rPr>
          <w:sz w:val="22"/>
        </w:rPr>
        <w:t xml:space="preserve"> the</w:t>
      </w:r>
      <w:r w:rsidR="00EA36E6">
        <w:rPr>
          <w:sz w:val="22"/>
        </w:rPr>
        <w:t xml:space="preserve"> character</w:t>
      </w:r>
      <w:r w:rsidR="009F6E31">
        <w:rPr>
          <w:sz w:val="22"/>
        </w:rPr>
        <w:t xml:space="preserve"> and </w:t>
      </w:r>
      <w:r w:rsidR="00EA36E6">
        <w:rPr>
          <w:sz w:val="22"/>
        </w:rPr>
        <w:t>location</w:t>
      </w:r>
      <w:r w:rsidR="009F6E31">
        <w:rPr>
          <w:sz w:val="22"/>
        </w:rPr>
        <w:t xml:space="preserve"> of the transferred </w:t>
      </w:r>
      <w:r w:rsidR="00EA36E6">
        <w:rPr>
          <w:sz w:val="22"/>
        </w:rPr>
        <w:t>asset</w:t>
      </w:r>
      <w:r w:rsidR="006858FB">
        <w:rPr>
          <w:sz w:val="22"/>
        </w:rPr>
        <w:t xml:space="preserve"> is the determining factor</w:t>
      </w:r>
      <w:r w:rsidR="009F6E31">
        <w:rPr>
          <w:sz w:val="22"/>
        </w:rPr>
        <w:t>.</w:t>
      </w:r>
      <w:r w:rsidR="006858FB">
        <w:rPr>
          <w:sz w:val="22"/>
        </w:rPr>
        <w:t xml:space="preserve">  </w:t>
      </w:r>
      <w:r w:rsidR="006858FB">
        <w:rPr>
          <w:rFonts w:cs="Times New Roman"/>
          <w:sz w:val="22"/>
        </w:rPr>
        <w:t>§§</w:t>
      </w:r>
      <w:r w:rsidR="00BE6350">
        <w:rPr>
          <w:sz w:val="22"/>
        </w:rPr>
        <w:t>2501(a)(1), (2); 2511(a), (b).</w:t>
      </w:r>
    </w:p>
    <w:p w14:paraId="7458CDD5" w14:textId="77777777" w:rsidR="00EA36E6" w:rsidRDefault="00EA36E6" w:rsidP="009F6E31">
      <w:pPr>
        <w:pStyle w:val="NoSpacing"/>
        <w:jc w:val="both"/>
        <w:rPr>
          <w:sz w:val="22"/>
        </w:rPr>
      </w:pPr>
    </w:p>
    <w:p w14:paraId="0DDD6196" w14:textId="77777777" w:rsidR="00EA36E6" w:rsidRDefault="00EA36E6" w:rsidP="006A56B3">
      <w:pPr>
        <w:pStyle w:val="NoSpacing"/>
        <w:numPr>
          <w:ilvl w:val="0"/>
          <w:numId w:val="8"/>
        </w:numPr>
        <w:jc w:val="both"/>
        <w:rPr>
          <w:sz w:val="22"/>
        </w:rPr>
      </w:pPr>
      <w:r w:rsidRPr="00EA36E6">
        <w:rPr>
          <w:i/>
          <w:sz w:val="22"/>
        </w:rPr>
        <w:t>Real Property and Tangible Personal Property</w:t>
      </w:r>
      <w:r w:rsidRPr="00EA36E6">
        <w:rPr>
          <w:sz w:val="22"/>
        </w:rPr>
        <w:t>.  If locus is in U.S. then the transfer is subject to taxation.</w:t>
      </w:r>
    </w:p>
    <w:p w14:paraId="00F57F0E" w14:textId="77777777" w:rsidR="00594187" w:rsidRPr="00EA36E6" w:rsidRDefault="00594187" w:rsidP="00594187">
      <w:pPr>
        <w:pStyle w:val="NoSpacing"/>
        <w:ind w:left="720"/>
        <w:jc w:val="both"/>
        <w:rPr>
          <w:sz w:val="22"/>
        </w:rPr>
      </w:pPr>
    </w:p>
    <w:p w14:paraId="6517DB1B" w14:textId="49ABF22B" w:rsidR="00AD7CEA" w:rsidRDefault="00EA36E6" w:rsidP="006A56B3">
      <w:pPr>
        <w:pStyle w:val="NoSpacing"/>
        <w:numPr>
          <w:ilvl w:val="0"/>
          <w:numId w:val="8"/>
        </w:numPr>
        <w:jc w:val="both"/>
        <w:rPr>
          <w:sz w:val="22"/>
        </w:rPr>
      </w:pPr>
      <w:r>
        <w:rPr>
          <w:i/>
          <w:sz w:val="22"/>
        </w:rPr>
        <w:t>Intangible Property</w:t>
      </w:r>
      <w:r>
        <w:rPr>
          <w:sz w:val="22"/>
        </w:rPr>
        <w:t xml:space="preserve">.  Transfers of </w:t>
      </w:r>
      <w:r w:rsidR="006A56B3">
        <w:rPr>
          <w:sz w:val="22"/>
        </w:rPr>
        <w:t>such assets are</w:t>
      </w:r>
      <w:r>
        <w:rPr>
          <w:sz w:val="22"/>
        </w:rPr>
        <w:t xml:space="preserve"> </w:t>
      </w:r>
      <w:r>
        <w:rPr>
          <w:sz w:val="22"/>
          <w:u w:val="single"/>
        </w:rPr>
        <w:t>not</w:t>
      </w:r>
      <w:r>
        <w:rPr>
          <w:sz w:val="22"/>
        </w:rPr>
        <w:t xml:space="preserve"> subject to tax, regardless of location.</w:t>
      </w:r>
    </w:p>
    <w:p w14:paraId="5F3D7C4A" w14:textId="77777777" w:rsidR="00AD7CEA" w:rsidRDefault="00AD7CEA" w:rsidP="00AD7CEA">
      <w:pPr>
        <w:pStyle w:val="NoSpacing"/>
        <w:ind w:left="720"/>
        <w:jc w:val="both"/>
        <w:rPr>
          <w:sz w:val="22"/>
        </w:rPr>
      </w:pPr>
    </w:p>
    <w:p w14:paraId="54D61440" w14:textId="471F57ED" w:rsidR="00AD7CEA" w:rsidRDefault="00AD7CEA" w:rsidP="00AD7CEA">
      <w:pPr>
        <w:pStyle w:val="NoSpacing"/>
        <w:ind w:left="720"/>
        <w:jc w:val="both"/>
        <w:rPr>
          <w:sz w:val="22"/>
        </w:rPr>
      </w:pPr>
      <w:r>
        <w:rPr>
          <w:sz w:val="22"/>
          <w:u w:val="single"/>
        </w:rPr>
        <w:t>Examples</w:t>
      </w:r>
      <w:r>
        <w:rPr>
          <w:sz w:val="22"/>
        </w:rPr>
        <w:t xml:space="preserve">.  Stocks, bonds, debt obligations, and bank deposits.  Regs. </w:t>
      </w:r>
      <w:r>
        <w:rPr>
          <w:rFonts w:cs="Times New Roman"/>
          <w:sz w:val="22"/>
        </w:rPr>
        <w:t>§</w:t>
      </w:r>
      <w:r>
        <w:rPr>
          <w:sz w:val="22"/>
        </w:rPr>
        <w:t>25</w:t>
      </w:r>
      <w:r w:rsidR="002071E3">
        <w:rPr>
          <w:sz w:val="22"/>
        </w:rPr>
        <w:t>.2511</w:t>
      </w:r>
      <w:r>
        <w:rPr>
          <w:sz w:val="22"/>
        </w:rPr>
        <w:t>-3(b).  Treasury bills.  PLR 8210055.</w:t>
      </w:r>
    </w:p>
    <w:p w14:paraId="33D3AE46" w14:textId="77777777" w:rsidR="00594187" w:rsidRDefault="00594187" w:rsidP="00AD7CEA">
      <w:pPr>
        <w:pStyle w:val="NoSpacing"/>
        <w:ind w:left="720"/>
        <w:jc w:val="both"/>
        <w:rPr>
          <w:sz w:val="22"/>
        </w:rPr>
      </w:pPr>
    </w:p>
    <w:p w14:paraId="5AD170CB" w14:textId="2581DE20" w:rsidR="00594187" w:rsidRPr="00594187" w:rsidRDefault="00594187" w:rsidP="00AD7CEA">
      <w:pPr>
        <w:pStyle w:val="NoSpacing"/>
        <w:ind w:left="720"/>
        <w:jc w:val="both"/>
        <w:rPr>
          <w:sz w:val="22"/>
        </w:rPr>
      </w:pPr>
      <w:r>
        <w:rPr>
          <w:sz w:val="22"/>
          <w:u w:val="single"/>
        </w:rPr>
        <w:t>Promissory Notes</w:t>
      </w:r>
      <w:r>
        <w:rPr>
          <w:sz w:val="22"/>
        </w:rPr>
        <w:t xml:space="preserve">.  </w:t>
      </w:r>
      <w:r w:rsidR="00044597">
        <w:rPr>
          <w:sz w:val="22"/>
        </w:rPr>
        <w:t xml:space="preserve">Generally excluded.  </w:t>
      </w:r>
      <w:r>
        <w:rPr>
          <w:sz w:val="22"/>
        </w:rPr>
        <w:t>[</w:t>
      </w:r>
      <w:r w:rsidR="00044597">
        <w:rPr>
          <w:sz w:val="22"/>
        </w:rPr>
        <w:t xml:space="preserve">Query: </w:t>
      </w:r>
      <w:r>
        <w:rPr>
          <w:sz w:val="22"/>
        </w:rPr>
        <w:t xml:space="preserve">what if </w:t>
      </w:r>
      <w:r w:rsidR="007428DF">
        <w:rPr>
          <w:sz w:val="22"/>
        </w:rPr>
        <w:t>obligor is U.S.</w:t>
      </w:r>
      <w:r>
        <w:rPr>
          <w:sz w:val="22"/>
        </w:rPr>
        <w:t xml:space="preserve"> </w:t>
      </w:r>
      <w:r w:rsidR="00044597">
        <w:rPr>
          <w:sz w:val="22"/>
        </w:rPr>
        <w:t xml:space="preserve">person </w:t>
      </w:r>
      <w:r>
        <w:rPr>
          <w:sz w:val="22"/>
        </w:rPr>
        <w:t>and note relates to real property; mortgage?]</w:t>
      </w:r>
    </w:p>
    <w:p w14:paraId="2FE112E2" w14:textId="77777777" w:rsidR="00AD7CEA" w:rsidRDefault="00AD7CEA" w:rsidP="00AD7CEA">
      <w:pPr>
        <w:pStyle w:val="NoSpacing"/>
        <w:ind w:left="720"/>
        <w:jc w:val="both"/>
        <w:rPr>
          <w:sz w:val="22"/>
        </w:rPr>
      </w:pPr>
    </w:p>
    <w:p w14:paraId="689E3A98" w14:textId="55EE62EE" w:rsidR="00AD7CEA" w:rsidRDefault="00AD7CEA" w:rsidP="00AD7CEA">
      <w:pPr>
        <w:pStyle w:val="NoSpacing"/>
        <w:ind w:left="720"/>
        <w:jc w:val="both"/>
        <w:rPr>
          <w:sz w:val="22"/>
        </w:rPr>
      </w:pPr>
      <w:r>
        <w:rPr>
          <w:sz w:val="22"/>
          <w:u w:val="single"/>
        </w:rPr>
        <w:t>Cash</w:t>
      </w:r>
      <w:r>
        <w:rPr>
          <w:sz w:val="22"/>
        </w:rPr>
        <w:t>?  Some uncertainty.</w:t>
      </w:r>
      <w:r w:rsidR="00044597">
        <w:rPr>
          <w:sz w:val="22"/>
        </w:rPr>
        <w:t xml:space="preserve">  </w:t>
      </w:r>
      <w:r w:rsidR="007428DF">
        <w:rPr>
          <w:sz w:val="22"/>
        </w:rPr>
        <w:t xml:space="preserve">Generally, transfer funds to an offshore account or wire </w:t>
      </w:r>
      <w:r w:rsidR="00044597">
        <w:rPr>
          <w:sz w:val="22"/>
        </w:rPr>
        <w:t>transfer funds to U.S. account?</w:t>
      </w:r>
    </w:p>
    <w:p w14:paraId="193AD8E6" w14:textId="77777777" w:rsidR="00AD7CEA" w:rsidRDefault="00AD7CEA" w:rsidP="00AD7CEA">
      <w:pPr>
        <w:pStyle w:val="NoSpacing"/>
        <w:ind w:left="720"/>
        <w:jc w:val="both"/>
        <w:rPr>
          <w:sz w:val="22"/>
        </w:rPr>
      </w:pPr>
    </w:p>
    <w:p w14:paraId="019FB6D1" w14:textId="4C021191" w:rsidR="00AD7CEA" w:rsidRDefault="004A502E" w:rsidP="00AD7CEA">
      <w:pPr>
        <w:pStyle w:val="NoSpacing"/>
        <w:jc w:val="both"/>
        <w:rPr>
          <w:sz w:val="22"/>
        </w:rPr>
      </w:pPr>
      <w:r>
        <w:rPr>
          <w:sz w:val="22"/>
        </w:rPr>
        <w:t>C</w:t>
      </w:r>
      <w:r w:rsidR="00690E19">
        <w:rPr>
          <w:sz w:val="22"/>
        </w:rPr>
        <w:t>.</w:t>
      </w:r>
      <w:r w:rsidR="00690E19">
        <w:rPr>
          <w:sz w:val="22"/>
        </w:rPr>
        <w:tab/>
      </w:r>
      <w:r w:rsidR="0036696D">
        <w:rPr>
          <w:sz w:val="22"/>
          <w:u w:val="single"/>
        </w:rPr>
        <w:t xml:space="preserve">NRA </w:t>
      </w:r>
      <w:r w:rsidR="00AD7CEA">
        <w:rPr>
          <w:sz w:val="22"/>
          <w:u w:val="single"/>
        </w:rPr>
        <w:t>Transferor Return</w:t>
      </w:r>
      <w:r w:rsidR="00806091">
        <w:rPr>
          <w:sz w:val="22"/>
          <w:u w:val="single"/>
        </w:rPr>
        <w:t xml:space="preserve"> and Tax</w:t>
      </w:r>
      <w:r w:rsidR="00AD7CEA">
        <w:rPr>
          <w:sz w:val="22"/>
        </w:rPr>
        <w:t>.</w:t>
      </w:r>
    </w:p>
    <w:p w14:paraId="6735196F" w14:textId="77777777" w:rsidR="0095545F" w:rsidRDefault="0095545F" w:rsidP="00AD7CEA">
      <w:pPr>
        <w:pStyle w:val="NoSpacing"/>
        <w:jc w:val="both"/>
        <w:rPr>
          <w:sz w:val="22"/>
        </w:rPr>
      </w:pPr>
    </w:p>
    <w:p w14:paraId="7B1DA94A" w14:textId="55D82F72" w:rsidR="0095545F" w:rsidRDefault="0095545F" w:rsidP="006A56B3">
      <w:pPr>
        <w:pStyle w:val="NoSpacing"/>
        <w:numPr>
          <w:ilvl w:val="0"/>
          <w:numId w:val="9"/>
        </w:numPr>
        <w:jc w:val="both"/>
        <w:rPr>
          <w:sz w:val="22"/>
        </w:rPr>
      </w:pPr>
      <w:r>
        <w:rPr>
          <w:i/>
          <w:sz w:val="22"/>
        </w:rPr>
        <w:t>Annual Exclusion.</w:t>
      </w:r>
      <w:r>
        <w:rPr>
          <w:sz w:val="22"/>
        </w:rPr>
        <w:t xml:space="preserve">  Allowable.  </w:t>
      </w:r>
      <w:r>
        <w:rPr>
          <w:rFonts w:cs="Times New Roman"/>
          <w:sz w:val="22"/>
        </w:rPr>
        <w:t>§</w:t>
      </w:r>
      <w:r>
        <w:rPr>
          <w:sz w:val="22"/>
        </w:rPr>
        <w:t>2503(b).</w:t>
      </w:r>
      <w:r w:rsidR="00BE6350">
        <w:rPr>
          <w:sz w:val="22"/>
        </w:rPr>
        <w:t xml:space="preserve">  201</w:t>
      </w:r>
      <w:r w:rsidR="00AE2FA1">
        <w:rPr>
          <w:sz w:val="22"/>
        </w:rPr>
        <w:t>7</w:t>
      </w:r>
      <w:r w:rsidR="00BE6350">
        <w:rPr>
          <w:sz w:val="22"/>
        </w:rPr>
        <w:t xml:space="preserve"> amount = $</w:t>
      </w:r>
      <w:r w:rsidR="003527F4">
        <w:rPr>
          <w:sz w:val="22"/>
        </w:rPr>
        <w:t>14,000.</w:t>
      </w:r>
    </w:p>
    <w:p w14:paraId="3BF46BC0" w14:textId="77777777" w:rsidR="00690E19" w:rsidRDefault="00690E19" w:rsidP="00690E19">
      <w:pPr>
        <w:pStyle w:val="NoSpacing"/>
        <w:ind w:left="720"/>
        <w:jc w:val="both"/>
        <w:rPr>
          <w:sz w:val="22"/>
        </w:rPr>
      </w:pPr>
    </w:p>
    <w:p w14:paraId="54F52916" w14:textId="5552AE39" w:rsidR="00EA22AB" w:rsidRPr="00AE579D" w:rsidRDefault="00BE6350" w:rsidP="006A56B3">
      <w:pPr>
        <w:pStyle w:val="NoSpacing"/>
        <w:numPr>
          <w:ilvl w:val="0"/>
          <w:numId w:val="9"/>
        </w:numPr>
        <w:jc w:val="both"/>
        <w:rPr>
          <w:sz w:val="22"/>
        </w:rPr>
      </w:pPr>
      <w:r>
        <w:rPr>
          <w:i/>
          <w:sz w:val="22"/>
        </w:rPr>
        <w:t>Annual exclusion for Spousal Transfers.</w:t>
      </w:r>
      <w:r>
        <w:rPr>
          <w:sz w:val="22"/>
        </w:rPr>
        <w:t xml:space="preserve">  </w:t>
      </w:r>
    </w:p>
    <w:p w14:paraId="0BCECD7F" w14:textId="77777777" w:rsidR="00C43994" w:rsidRDefault="00C43994" w:rsidP="00C43994">
      <w:pPr>
        <w:pStyle w:val="ListParagraph"/>
        <w:rPr>
          <w:sz w:val="22"/>
        </w:rPr>
      </w:pPr>
    </w:p>
    <w:p w14:paraId="6CF61F3F" w14:textId="77777777" w:rsidR="00EA22AB" w:rsidRDefault="00EA22AB" w:rsidP="00EA22AB">
      <w:pPr>
        <w:pStyle w:val="NoSpacing"/>
        <w:jc w:val="both"/>
        <w:rPr>
          <w:sz w:val="22"/>
        </w:rPr>
      </w:pPr>
    </w:p>
    <w:p w14:paraId="02DCEBDC" w14:textId="01C92794" w:rsidR="00690E19" w:rsidRDefault="00BE6350" w:rsidP="00690E19">
      <w:pPr>
        <w:pStyle w:val="NoSpacing"/>
        <w:numPr>
          <w:ilvl w:val="0"/>
          <w:numId w:val="9"/>
        </w:numPr>
        <w:jc w:val="both"/>
        <w:rPr>
          <w:sz w:val="22"/>
        </w:rPr>
      </w:pPr>
      <w:r w:rsidRPr="003527F4">
        <w:rPr>
          <w:sz w:val="22"/>
        </w:rPr>
        <w:t xml:space="preserve">$100,000, as adjusted for inflation. </w:t>
      </w:r>
      <w:r w:rsidR="003527F4" w:rsidRPr="003527F4">
        <w:rPr>
          <w:rFonts w:cs="Times New Roman"/>
          <w:sz w:val="22"/>
        </w:rPr>
        <w:t>§</w:t>
      </w:r>
      <w:r w:rsidR="003527F4" w:rsidRPr="003527F4">
        <w:rPr>
          <w:sz w:val="22"/>
        </w:rPr>
        <w:t xml:space="preserve">2523(i)(2). </w:t>
      </w:r>
      <w:r w:rsidRPr="003527F4">
        <w:rPr>
          <w:sz w:val="22"/>
        </w:rPr>
        <w:t xml:space="preserve"> 201</w:t>
      </w:r>
      <w:r w:rsidR="003527F4" w:rsidRPr="003527F4">
        <w:rPr>
          <w:sz w:val="22"/>
        </w:rPr>
        <w:t>6</w:t>
      </w:r>
      <w:r w:rsidRPr="003527F4">
        <w:rPr>
          <w:sz w:val="22"/>
        </w:rPr>
        <w:t xml:space="preserve"> amount is </w:t>
      </w:r>
      <w:r w:rsidR="003527F4">
        <w:rPr>
          <w:sz w:val="22"/>
        </w:rPr>
        <w:t>$148,000.</w:t>
      </w:r>
    </w:p>
    <w:p w14:paraId="1D001768" w14:textId="77777777" w:rsidR="003527F4" w:rsidRPr="003527F4" w:rsidRDefault="003527F4" w:rsidP="003527F4">
      <w:pPr>
        <w:pStyle w:val="NoSpacing"/>
        <w:ind w:left="720"/>
        <w:jc w:val="both"/>
        <w:rPr>
          <w:sz w:val="22"/>
        </w:rPr>
      </w:pPr>
    </w:p>
    <w:p w14:paraId="7050F5B7" w14:textId="77777777" w:rsidR="0095545F" w:rsidRDefault="0095545F" w:rsidP="006A56B3">
      <w:pPr>
        <w:pStyle w:val="NoSpacing"/>
        <w:numPr>
          <w:ilvl w:val="0"/>
          <w:numId w:val="9"/>
        </w:numPr>
        <w:jc w:val="both"/>
        <w:rPr>
          <w:sz w:val="22"/>
        </w:rPr>
      </w:pPr>
      <w:r>
        <w:rPr>
          <w:i/>
          <w:sz w:val="22"/>
        </w:rPr>
        <w:t>Medical and Education Exclusion</w:t>
      </w:r>
      <w:r>
        <w:rPr>
          <w:sz w:val="22"/>
        </w:rPr>
        <w:t>.  Direct payment of same allowable.</w:t>
      </w:r>
    </w:p>
    <w:p w14:paraId="6CEF606C" w14:textId="77777777" w:rsidR="00690E19" w:rsidRDefault="00690E19" w:rsidP="00690E19">
      <w:pPr>
        <w:pStyle w:val="NoSpacing"/>
        <w:ind w:left="720"/>
        <w:jc w:val="both"/>
        <w:rPr>
          <w:sz w:val="22"/>
        </w:rPr>
      </w:pPr>
    </w:p>
    <w:p w14:paraId="3652F237" w14:textId="77777777" w:rsidR="00690E19" w:rsidRDefault="0095545F" w:rsidP="006A56B3">
      <w:pPr>
        <w:pStyle w:val="NoSpacing"/>
        <w:numPr>
          <w:ilvl w:val="0"/>
          <w:numId w:val="9"/>
        </w:numPr>
        <w:jc w:val="both"/>
        <w:rPr>
          <w:sz w:val="22"/>
        </w:rPr>
      </w:pPr>
      <w:r>
        <w:rPr>
          <w:i/>
          <w:sz w:val="22"/>
        </w:rPr>
        <w:t>Charitable Contribution.</w:t>
      </w:r>
      <w:r w:rsidR="0036696D">
        <w:rPr>
          <w:sz w:val="22"/>
        </w:rPr>
        <w:t xml:space="preserve">  Limited allowance.  </w:t>
      </w:r>
      <w:r w:rsidR="0036696D">
        <w:rPr>
          <w:rFonts w:cs="Times New Roman"/>
          <w:sz w:val="22"/>
        </w:rPr>
        <w:t>§</w:t>
      </w:r>
      <w:r w:rsidR="0036696D">
        <w:rPr>
          <w:sz w:val="22"/>
        </w:rPr>
        <w:t>2522(b).</w:t>
      </w:r>
    </w:p>
    <w:p w14:paraId="18888558" w14:textId="77777777" w:rsidR="00C43994" w:rsidRDefault="00C43994" w:rsidP="00C43994">
      <w:pPr>
        <w:pStyle w:val="NoSpacing"/>
        <w:ind w:left="720"/>
        <w:jc w:val="both"/>
        <w:rPr>
          <w:sz w:val="22"/>
        </w:rPr>
      </w:pPr>
    </w:p>
    <w:p w14:paraId="04BEEA54" w14:textId="4E39C006" w:rsidR="0095545F" w:rsidRDefault="0095545F" w:rsidP="00C43994">
      <w:pPr>
        <w:pStyle w:val="NoSpacing"/>
        <w:jc w:val="both"/>
        <w:rPr>
          <w:sz w:val="22"/>
        </w:rPr>
      </w:pPr>
      <w:r>
        <w:rPr>
          <w:sz w:val="22"/>
        </w:rPr>
        <w:t xml:space="preserve">   </w:t>
      </w:r>
      <w:r>
        <w:rPr>
          <w:i/>
          <w:sz w:val="22"/>
        </w:rPr>
        <w:t>Unified Credit</w:t>
      </w:r>
      <w:r>
        <w:rPr>
          <w:sz w:val="22"/>
        </w:rPr>
        <w:t xml:space="preserve">.  No allowance.  Credit applies to a “citizen or resident of the United States.”  </w:t>
      </w:r>
      <w:r>
        <w:rPr>
          <w:rFonts w:cs="Times New Roman"/>
          <w:sz w:val="22"/>
        </w:rPr>
        <w:t>§</w:t>
      </w:r>
      <w:r>
        <w:rPr>
          <w:sz w:val="22"/>
        </w:rPr>
        <w:t>2505(a)</w:t>
      </w:r>
      <w:r w:rsidR="00690E19">
        <w:rPr>
          <w:sz w:val="22"/>
        </w:rPr>
        <w:t>.</w:t>
      </w:r>
    </w:p>
    <w:p w14:paraId="1F8AE9EA" w14:textId="77777777" w:rsidR="00C43994" w:rsidRDefault="00C43994" w:rsidP="00C43994">
      <w:pPr>
        <w:pStyle w:val="NoSpacing"/>
      </w:pPr>
    </w:p>
    <w:p w14:paraId="759E2F6D" w14:textId="444D812E" w:rsidR="0095545F" w:rsidRDefault="0095545F" w:rsidP="006A56B3">
      <w:pPr>
        <w:pStyle w:val="NoSpacing"/>
        <w:numPr>
          <w:ilvl w:val="0"/>
          <w:numId w:val="9"/>
        </w:numPr>
        <w:jc w:val="both"/>
        <w:rPr>
          <w:sz w:val="22"/>
        </w:rPr>
      </w:pPr>
      <w:r>
        <w:rPr>
          <w:sz w:val="22"/>
        </w:rPr>
        <w:t xml:space="preserve"> </w:t>
      </w:r>
      <w:r w:rsidR="0036696D">
        <w:rPr>
          <w:i/>
          <w:sz w:val="22"/>
        </w:rPr>
        <w:t>Marital Deduction</w:t>
      </w:r>
      <w:r w:rsidR="0036696D">
        <w:rPr>
          <w:sz w:val="22"/>
        </w:rPr>
        <w:t xml:space="preserve">.  </w:t>
      </w:r>
      <w:r w:rsidR="00BE6350">
        <w:rPr>
          <w:sz w:val="22"/>
        </w:rPr>
        <w:t xml:space="preserve">Allowable only if donee spouse is citizen at time </w:t>
      </w:r>
      <w:r w:rsidR="003527F4">
        <w:rPr>
          <w:sz w:val="22"/>
        </w:rPr>
        <w:t>of transfer.  QDOT</w:t>
      </w:r>
      <w:r w:rsidR="003527F4">
        <w:rPr>
          <w:sz w:val="22"/>
        </w:rPr>
        <w:tab/>
        <w:t xml:space="preserve"> unavailable.  </w:t>
      </w:r>
      <w:r w:rsidR="003527F4">
        <w:rPr>
          <w:i/>
          <w:sz w:val="22"/>
        </w:rPr>
        <w:t xml:space="preserve">See, </w:t>
      </w:r>
      <w:r w:rsidR="003527F4" w:rsidRPr="00AE2FA1">
        <w:rPr>
          <w:rFonts w:cs="Times New Roman"/>
          <w:sz w:val="22"/>
        </w:rPr>
        <w:t>§</w:t>
      </w:r>
      <w:r w:rsidR="0041026F">
        <w:rPr>
          <w:sz w:val="22"/>
        </w:rPr>
        <w:t>2523(i)(1).</w:t>
      </w:r>
    </w:p>
    <w:p w14:paraId="508E698C" w14:textId="77777777" w:rsidR="00690E19" w:rsidRDefault="00690E19" w:rsidP="00690E19">
      <w:pPr>
        <w:pStyle w:val="NoSpacing"/>
        <w:ind w:left="720"/>
        <w:jc w:val="both"/>
        <w:rPr>
          <w:sz w:val="22"/>
        </w:rPr>
      </w:pPr>
    </w:p>
    <w:p w14:paraId="18FECC49" w14:textId="77777777" w:rsidR="004A502E" w:rsidRDefault="0036696D" w:rsidP="004A502E">
      <w:pPr>
        <w:pStyle w:val="NoSpacing"/>
        <w:numPr>
          <w:ilvl w:val="0"/>
          <w:numId w:val="9"/>
        </w:numPr>
        <w:jc w:val="both"/>
        <w:rPr>
          <w:sz w:val="22"/>
        </w:rPr>
      </w:pPr>
      <w:r>
        <w:rPr>
          <w:i/>
          <w:sz w:val="22"/>
        </w:rPr>
        <w:t>Tax Rate</w:t>
      </w:r>
      <w:r>
        <w:rPr>
          <w:sz w:val="22"/>
        </w:rPr>
        <w:t>.  Same rate schedule as applicable to U.S. citizens or residents.</w:t>
      </w:r>
    </w:p>
    <w:p w14:paraId="3D0EDB8E" w14:textId="77777777" w:rsidR="00C43994" w:rsidRDefault="00C43994" w:rsidP="00C43994">
      <w:pPr>
        <w:pStyle w:val="NoSpacing"/>
      </w:pPr>
    </w:p>
    <w:p w14:paraId="370DFB87" w14:textId="0402C6AF" w:rsidR="0036696D" w:rsidRPr="004A502E" w:rsidRDefault="004A502E" w:rsidP="004A502E">
      <w:pPr>
        <w:pStyle w:val="NoSpacing"/>
        <w:ind w:left="720" w:hanging="720"/>
        <w:jc w:val="both"/>
        <w:rPr>
          <w:sz w:val="22"/>
        </w:rPr>
      </w:pPr>
      <w:r>
        <w:rPr>
          <w:sz w:val="22"/>
        </w:rPr>
        <w:t>D.</w:t>
      </w:r>
      <w:r>
        <w:rPr>
          <w:sz w:val="22"/>
        </w:rPr>
        <w:tab/>
      </w:r>
      <w:r w:rsidR="0036696D" w:rsidRPr="004A502E">
        <w:rPr>
          <w:sz w:val="22"/>
          <w:u w:val="single"/>
        </w:rPr>
        <w:t>Citizen or Resident Transfers to NRAs</w:t>
      </w:r>
      <w:r w:rsidR="0036696D" w:rsidRPr="004A502E">
        <w:rPr>
          <w:sz w:val="22"/>
        </w:rPr>
        <w:t>.  Generally, normal rules apply with the following exceptions.</w:t>
      </w:r>
    </w:p>
    <w:p w14:paraId="2E7729F5" w14:textId="77777777" w:rsidR="0036696D" w:rsidRDefault="0036696D" w:rsidP="0036696D">
      <w:pPr>
        <w:pStyle w:val="NoSpacing"/>
        <w:jc w:val="both"/>
        <w:rPr>
          <w:sz w:val="22"/>
        </w:rPr>
      </w:pPr>
    </w:p>
    <w:p w14:paraId="2C917386" w14:textId="77777777" w:rsidR="0036696D" w:rsidRDefault="0036696D" w:rsidP="006A56B3">
      <w:pPr>
        <w:pStyle w:val="NoSpacing"/>
        <w:numPr>
          <w:ilvl w:val="0"/>
          <w:numId w:val="10"/>
        </w:numPr>
        <w:jc w:val="both"/>
        <w:rPr>
          <w:sz w:val="22"/>
        </w:rPr>
      </w:pPr>
      <w:r>
        <w:rPr>
          <w:i/>
          <w:sz w:val="22"/>
        </w:rPr>
        <w:t>Charitable Contributions</w:t>
      </w:r>
      <w:r w:rsidR="00CC7A81">
        <w:rPr>
          <w:sz w:val="22"/>
        </w:rPr>
        <w:t>.</w:t>
      </w:r>
    </w:p>
    <w:p w14:paraId="359D528C" w14:textId="77777777" w:rsidR="003527F4" w:rsidRDefault="003527F4" w:rsidP="003527F4">
      <w:pPr>
        <w:pStyle w:val="NoSpacing"/>
        <w:ind w:left="720"/>
        <w:jc w:val="both"/>
        <w:rPr>
          <w:sz w:val="22"/>
        </w:rPr>
      </w:pPr>
    </w:p>
    <w:p w14:paraId="63099526" w14:textId="77777777" w:rsidR="00CC7A81" w:rsidRPr="0036696D" w:rsidRDefault="00CC7A81" w:rsidP="006A56B3">
      <w:pPr>
        <w:pStyle w:val="NoSpacing"/>
        <w:numPr>
          <w:ilvl w:val="0"/>
          <w:numId w:val="10"/>
        </w:numPr>
        <w:jc w:val="both"/>
        <w:rPr>
          <w:sz w:val="22"/>
        </w:rPr>
      </w:pPr>
      <w:r>
        <w:rPr>
          <w:i/>
          <w:sz w:val="22"/>
        </w:rPr>
        <w:t>Marital Deduction.</w:t>
      </w:r>
    </w:p>
    <w:p w14:paraId="01ABB8DC" w14:textId="77777777" w:rsidR="00806091" w:rsidRDefault="00806091" w:rsidP="00AD7CEA">
      <w:pPr>
        <w:pStyle w:val="NoSpacing"/>
        <w:jc w:val="both"/>
        <w:rPr>
          <w:sz w:val="22"/>
        </w:rPr>
      </w:pPr>
    </w:p>
    <w:p w14:paraId="33DF9289" w14:textId="49207A22" w:rsidR="004105C2" w:rsidRDefault="004A502E" w:rsidP="00AD7CEA">
      <w:pPr>
        <w:pStyle w:val="NoSpacing"/>
        <w:jc w:val="both"/>
        <w:rPr>
          <w:sz w:val="22"/>
        </w:rPr>
      </w:pPr>
      <w:r>
        <w:rPr>
          <w:sz w:val="22"/>
        </w:rPr>
        <w:t>E</w:t>
      </w:r>
      <w:r w:rsidR="00690E19">
        <w:rPr>
          <w:sz w:val="22"/>
        </w:rPr>
        <w:t>.</w:t>
      </w:r>
      <w:r w:rsidR="00690E19">
        <w:rPr>
          <w:sz w:val="22"/>
        </w:rPr>
        <w:tab/>
      </w:r>
      <w:r w:rsidR="00806091">
        <w:rPr>
          <w:sz w:val="22"/>
          <w:u w:val="single"/>
        </w:rPr>
        <w:t>Transferee Return</w:t>
      </w:r>
      <w:r w:rsidR="00806091">
        <w:rPr>
          <w:sz w:val="22"/>
        </w:rPr>
        <w:t>.</w:t>
      </w:r>
      <w:r w:rsidR="00CD64A7">
        <w:rPr>
          <w:sz w:val="22"/>
        </w:rPr>
        <w:t xml:space="preserve">  Any </w:t>
      </w:r>
      <w:r w:rsidR="004105C2">
        <w:rPr>
          <w:sz w:val="22"/>
        </w:rPr>
        <w:t>“</w:t>
      </w:r>
      <w:r w:rsidR="00CD64A7">
        <w:rPr>
          <w:sz w:val="22"/>
        </w:rPr>
        <w:t>U.S. person</w:t>
      </w:r>
      <w:r w:rsidR="004105C2">
        <w:rPr>
          <w:sz w:val="22"/>
        </w:rPr>
        <w:t>”</w:t>
      </w:r>
      <w:r w:rsidR="00CD64A7">
        <w:rPr>
          <w:sz w:val="22"/>
        </w:rPr>
        <w:t xml:space="preserve"> (other than a 501</w:t>
      </w:r>
      <w:r w:rsidR="00C43994">
        <w:rPr>
          <w:sz w:val="22"/>
        </w:rPr>
        <w:t>I</w:t>
      </w:r>
      <w:r w:rsidR="00CD64A7">
        <w:rPr>
          <w:sz w:val="22"/>
        </w:rPr>
        <w:t xml:space="preserve"> organization) who receives from an NRA gifts or bequests totaling more than $10,000 (adjusted </w:t>
      </w:r>
      <w:r w:rsidR="00044597">
        <w:rPr>
          <w:sz w:val="22"/>
        </w:rPr>
        <w:t>by subsequent IRS Notice</w:t>
      </w:r>
      <w:r w:rsidR="00CD64A7">
        <w:rPr>
          <w:sz w:val="22"/>
        </w:rPr>
        <w:t>) during a taxable year must report the gift to the IRS.</w:t>
      </w:r>
      <w:r w:rsidR="003B774B">
        <w:rPr>
          <w:sz w:val="22"/>
        </w:rPr>
        <w:t xml:space="preserve">  </w:t>
      </w:r>
      <w:r w:rsidR="003B774B">
        <w:rPr>
          <w:rFonts w:cs="Times New Roman"/>
          <w:sz w:val="22"/>
        </w:rPr>
        <w:t>§</w:t>
      </w:r>
      <w:r w:rsidR="003B774B">
        <w:rPr>
          <w:sz w:val="22"/>
        </w:rPr>
        <w:t xml:space="preserve">6039F.  Note that this filing obligation is imposed upon the </w:t>
      </w:r>
      <w:r w:rsidR="00941D58">
        <w:rPr>
          <w:sz w:val="22"/>
        </w:rPr>
        <w:t>donee</w:t>
      </w:r>
      <w:r w:rsidR="003B774B">
        <w:rPr>
          <w:sz w:val="22"/>
        </w:rPr>
        <w:t xml:space="preserve"> and not the </w:t>
      </w:r>
      <w:r w:rsidR="00941D58">
        <w:rPr>
          <w:sz w:val="22"/>
        </w:rPr>
        <w:t>donor</w:t>
      </w:r>
      <w:r w:rsidR="003B774B">
        <w:rPr>
          <w:sz w:val="22"/>
        </w:rPr>
        <w:t>.</w:t>
      </w:r>
    </w:p>
    <w:p w14:paraId="2305579B" w14:textId="77777777" w:rsidR="00690E19" w:rsidRDefault="00690E19" w:rsidP="00AD7CEA">
      <w:pPr>
        <w:pStyle w:val="NoSpacing"/>
        <w:jc w:val="both"/>
        <w:rPr>
          <w:sz w:val="22"/>
        </w:rPr>
      </w:pPr>
    </w:p>
    <w:p w14:paraId="1EFEAAE1" w14:textId="77777777" w:rsidR="004105C2" w:rsidRDefault="004105C2" w:rsidP="006A56B3">
      <w:pPr>
        <w:pStyle w:val="NoSpacing"/>
        <w:numPr>
          <w:ilvl w:val="0"/>
          <w:numId w:val="12"/>
        </w:numPr>
        <w:jc w:val="both"/>
        <w:rPr>
          <w:sz w:val="22"/>
        </w:rPr>
      </w:pPr>
      <w:r>
        <w:rPr>
          <w:sz w:val="22"/>
        </w:rPr>
        <w:t>“</w:t>
      </w:r>
      <w:r w:rsidRPr="004105C2">
        <w:rPr>
          <w:i/>
          <w:sz w:val="22"/>
        </w:rPr>
        <w:t>U.S. Person</w:t>
      </w:r>
      <w:r>
        <w:rPr>
          <w:sz w:val="22"/>
        </w:rPr>
        <w:t xml:space="preserve">” includes U.S. citizens and residents, domestic corporations and partnerships, and domestic trusts and estates.  </w:t>
      </w:r>
      <w:r>
        <w:rPr>
          <w:rFonts w:cs="Times New Roman"/>
          <w:sz w:val="22"/>
        </w:rPr>
        <w:t>§</w:t>
      </w:r>
      <w:r>
        <w:rPr>
          <w:sz w:val="22"/>
        </w:rPr>
        <w:t>7701(30).</w:t>
      </w:r>
    </w:p>
    <w:p w14:paraId="2AEE3DDA" w14:textId="77777777" w:rsidR="00690E19" w:rsidRPr="004105C2" w:rsidRDefault="00690E19" w:rsidP="00690E19">
      <w:pPr>
        <w:pStyle w:val="NoSpacing"/>
        <w:ind w:left="720"/>
        <w:jc w:val="both"/>
        <w:rPr>
          <w:sz w:val="22"/>
        </w:rPr>
      </w:pPr>
    </w:p>
    <w:p w14:paraId="10C78BF2" w14:textId="77777777" w:rsidR="00CD64A7" w:rsidRDefault="004105C2" w:rsidP="006A56B3">
      <w:pPr>
        <w:pStyle w:val="NoSpacing"/>
        <w:numPr>
          <w:ilvl w:val="0"/>
          <w:numId w:val="11"/>
        </w:numPr>
        <w:jc w:val="both"/>
        <w:rPr>
          <w:sz w:val="22"/>
        </w:rPr>
      </w:pPr>
      <w:r>
        <w:rPr>
          <w:sz w:val="22"/>
        </w:rPr>
        <w:t>Rule inapplicable to amounts that qualify for exclusion of medical and tuition expenses.</w:t>
      </w:r>
    </w:p>
    <w:p w14:paraId="52507BC9" w14:textId="77777777" w:rsidR="00690E19" w:rsidRDefault="00690E19" w:rsidP="00690E19">
      <w:pPr>
        <w:pStyle w:val="NoSpacing"/>
        <w:ind w:left="720"/>
        <w:jc w:val="both"/>
        <w:rPr>
          <w:sz w:val="22"/>
        </w:rPr>
      </w:pPr>
    </w:p>
    <w:p w14:paraId="74A9A2B0" w14:textId="77777777" w:rsidR="003B774B" w:rsidRDefault="003B774B" w:rsidP="006A56B3">
      <w:pPr>
        <w:pStyle w:val="NoSpacing"/>
        <w:numPr>
          <w:ilvl w:val="0"/>
          <w:numId w:val="11"/>
        </w:numPr>
        <w:jc w:val="both"/>
        <w:rPr>
          <w:sz w:val="22"/>
        </w:rPr>
      </w:pPr>
      <w:r>
        <w:rPr>
          <w:i/>
          <w:sz w:val="22"/>
        </w:rPr>
        <w:t>Form 3520.</w:t>
      </w:r>
      <w:r w:rsidR="00DE48D4">
        <w:rPr>
          <w:sz w:val="22"/>
        </w:rPr>
        <w:t xml:space="preserve">  Filed with Ogden office.</w:t>
      </w:r>
    </w:p>
    <w:p w14:paraId="2AD31D85" w14:textId="77777777" w:rsidR="00690E19" w:rsidRDefault="00690E19" w:rsidP="00690E19">
      <w:pPr>
        <w:pStyle w:val="NoSpacing"/>
        <w:ind w:left="720"/>
        <w:jc w:val="both"/>
        <w:rPr>
          <w:sz w:val="22"/>
        </w:rPr>
      </w:pPr>
    </w:p>
    <w:p w14:paraId="00203A3B" w14:textId="77777777" w:rsidR="004105C2" w:rsidRDefault="003B774B" w:rsidP="006A56B3">
      <w:pPr>
        <w:pStyle w:val="NoSpacing"/>
        <w:numPr>
          <w:ilvl w:val="0"/>
          <w:numId w:val="11"/>
        </w:numPr>
        <w:jc w:val="both"/>
        <w:rPr>
          <w:sz w:val="22"/>
        </w:rPr>
      </w:pPr>
      <w:r>
        <w:rPr>
          <w:i/>
          <w:sz w:val="22"/>
        </w:rPr>
        <w:t>Threshold Modification.</w:t>
      </w:r>
      <w:r>
        <w:rPr>
          <w:sz w:val="22"/>
        </w:rPr>
        <w:t xml:space="preserve">  </w:t>
      </w:r>
      <w:r w:rsidR="00A11474">
        <w:rPr>
          <w:sz w:val="22"/>
        </w:rPr>
        <w:t>IRS in Notice 97-34 modified the threshold filing requirements as follows:</w:t>
      </w:r>
    </w:p>
    <w:p w14:paraId="6F66A4C6" w14:textId="77777777" w:rsidR="00941D58" w:rsidRDefault="00941D58" w:rsidP="00941D58">
      <w:pPr>
        <w:pStyle w:val="NoSpacing"/>
        <w:ind w:left="720"/>
        <w:jc w:val="both"/>
        <w:rPr>
          <w:sz w:val="22"/>
        </w:rPr>
      </w:pPr>
    </w:p>
    <w:p w14:paraId="4FCC3ABD" w14:textId="77777777" w:rsidR="00A11474" w:rsidRDefault="00A11474" w:rsidP="006A56B3">
      <w:pPr>
        <w:pStyle w:val="NoSpacing"/>
        <w:numPr>
          <w:ilvl w:val="1"/>
          <w:numId w:val="11"/>
        </w:numPr>
        <w:jc w:val="both"/>
        <w:rPr>
          <w:sz w:val="22"/>
        </w:rPr>
      </w:pPr>
      <w:r>
        <w:rPr>
          <w:sz w:val="22"/>
          <w:u w:val="single"/>
        </w:rPr>
        <w:t>Gifts from Nonresident Alien Individuals and Estates</w:t>
      </w:r>
      <w:r>
        <w:rPr>
          <w:sz w:val="22"/>
        </w:rPr>
        <w:t xml:space="preserve">.  Aggregate amount of gifts during the taxable year </w:t>
      </w:r>
      <w:r w:rsidR="00DE48D4">
        <w:rPr>
          <w:sz w:val="22"/>
        </w:rPr>
        <w:t xml:space="preserve">from same foreign person </w:t>
      </w:r>
      <w:r>
        <w:rPr>
          <w:sz w:val="22"/>
        </w:rPr>
        <w:t>exceed</w:t>
      </w:r>
      <w:r w:rsidR="00DE48D4">
        <w:rPr>
          <w:sz w:val="22"/>
        </w:rPr>
        <w:t>s</w:t>
      </w:r>
      <w:r>
        <w:rPr>
          <w:sz w:val="22"/>
        </w:rPr>
        <w:t xml:space="preserve"> $100,000.  Once amount met, each gift in excess of $5,000 must be described but identity of donor required only upon request from IRS.</w:t>
      </w:r>
    </w:p>
    <w:p w14:paraId="35DDF61D" w14:textId="77777777" w:rsidR="006A56B3" w:rsidRDefault="006A56B3" w:rsidP="00A11474">
      <w:pPr>
        <w:pStyle w:val="NoSpacing"/>
        <w:ind w:left="720"/>
        <w:jc w:val="both"/>
        <w:rPr>
          <w:sz w:val="22"/>
        </w:rPr>
      </w:pPr>
    </w:p>
    <w:p w14:paraId="68F641CB" w14:textId="77777777" w:rsidR="00A11474" w:rsidRDefault="00A11474" w:rsidP="006A56B3">
      <w:pPr>
        <w:pStyle w:val="NoSpacing"/>
        <w:numPr>
          <w:ilvl w:val="0"/>
          <w:numId w:val="34"/>
        </w:numPr>
        <w:jc w:val="both"/>
        <w:rPr>
          <w:sz w:val="22"/>
        </w:rPr>
      </w:pPr>
      <w:r>
        <w:rPr>
          <w:sz w:val="22"/>
          <w:u w:val="single"/>
        </w:rPr>
        <w:t>Gifts from Foreign Corporations and Partnerships</w:t>
      </w:r>
      <w:r>
        <w:rPr>
          <w:sz w:val="22"/>
        </w:rPr>
        <w:t xml:space="preserve">.  Reportable whenever aggregate amount from </w:t>
      </w:r>
      <w:r>
        <w:rPr>
          <w:sz w:val="22"/>
          <w:u w:val="single"/>
        </w:rPr>
        <w:t>all</w:t>
      </w:r>
      <w:r>
        <w:rPr>
          <w:sz w:val="22"/>
        </w:rPr>
        <w:t xml:space="preserve"> such entities exceed</w:t>
      </w:r>
      <w:r w:rsidR="00DE48D4">
        <w:rPr>
          <w:sz w:val="22"/>
        </w:rPr>
        <w:t>s</w:t>
      </w:r>
      <w:r>
        <w:rPr>
          <w:sz w:val="22"/>
        </w:rPr>
        <w:t xml:space="preserve"> $10,000.</w:t>
      </w:r>
    </w:p>
    <w:p w14:paraId="4A47007B" w14:textId="77777777" w:rsidR="00941D58" w:rsidRDefault="00941D58" w:rsidP="00A11474">
      <w:pPr>
        <w:pStyle w:val="NoSpacing"/>
        <w:ind w:left="720"/>
        <w:jc w:val="both"/>
        <w:rPr>
          <w:sz w:val="22"/>
        </w:rPr>
      </w:pPr>
    </w:p>
    <w:p w14:paraId="4BCD5163" w14:textId="3D2A3375" w:rsidR="00AD7CEA" w:rsidRDefault="00941D58" w:rsidP="006A56B3">
      <w:pPr>
        <w:pStyle w:val="NoSpacing"/>
        <w:numPr>
          <w:ilvl w:val="0"/>
          <w:numId w:val="11"/>
        </w:numPr>
        <w:jc w:val="both"/>
        <w:rPr>
          <w:sz w:val="22"/>
        </w:rPr>
      </w:pPr>
      <w:r>
        <w:rPr>
          <w:i/>
          <w:sz w:val="22"/>
        </w:rPr>
        <w:t>Penalty.</w:t>
      </w:r>
      <w:r>
        <w:rPr>
          <w:sz w:val="22"/>
        </w:rPr>
        <w:t xml:space="preserve">  </w:t>
      </w:r>
      <w:r w:rsidR="0064737B">
        <w:rPr>
          <w:sz w:val="22"/>
        </w:rPr>
        <w:t>D</w:t>
      </w:r>
      <w:r>
        <w:rPr>
          <w:sz w:val="22"/>
        </w:rPr>
        <w:t>onee penalty equal to 5% of gift amount for each month report delinquent, with maximum of 25%.</w:t>
      </w:r>
      <w:r w:rsidR="0064737B">
        <w:rPr>
          <w:sz w:val="22"/>
        </w:rPr>
        <w:t xml:space="preserve">  Waiver allowable under standard of reasonable cause and not willful neglect.</w:t>
      </w:r>
    </w:p>
    <w:p w14:paraId="7C397970" w14:textId="77777777" w:rsidR="00C43994" w:rsidRDefault="00C43994" w:rsidP="00C43994">
      <w:pPr>
        <w:pStyle w:val="NoSpacing"/>
        <w:jc w:val="both"/>
        <w:rPr>
          <w:sz w:val="22"/>
        </w:rPr>
      </w:pPr>
    </w:p>
    <w:p w14:paraId="43F4C2FC" w14:textId="77777777" w:rsidR="00C43994" w:rsidRPr="006A56B3" w:rsidRDefault="00C43994" w:rsidP="00C43994">
      <w:pPr>
        <w:pStyle w:val="NoSpacing"/>
        <w:jc w:val="both"/>
        <w:rPr>
          <w:sz w:val="22"/>
        </w:rPr>
      </w:pPr>
    </w:p>
    <w:p w14:paraId="1EB8298B" w14:textId="77777777" w:rsidR="00E50B8C" w:rsidRDefault="00E50B8C" w:rsidP="0092708C">
      <w:pPr>
        <w:pStyle w:val="NoSpacing"/>
        <w:jc w:val="both"/>
        <w:rPr>
          <w:sz w:val="22"/>
        </w:rPr>
      </w:pPr>
    </w:p>
    <w:p w14:paraId="6D6BCDC2" w14:textId="77777777" w:rsidR="00044597" w:rsidRDefault="00044597" w:rsidP="0092708C">
      <w:pPr>
        <w:pStyle w:val="NoSpacing"/>
        <w:jc w:val="both"/>
        <w:rPr>
          <w:sz w:val="22"/>
        </w:rPr>
      </w:pPr>
    </w:p>
    <w:p w14:paraId="1A1E8686" w14:textId="032BFA1C" w:rsidR="00E50B8C" w:rsidRDefault="00E50B8C" w:rsidP="0092708C">
      <w:pPr>
        <w:pStyle w:val="NoSpacing"/>
        <w:jc w:val="both"/>
        <w:rPr>
          <w:sz w:val="22"/>
        </w:rPr>
      </w:pPr>
      <w:r>
        <w:rPr>
          <w:sz w:val="22"/>
        </w:rPr>
        <w:lastRenderedPageBreak/>
        <w:t>V</w:t>
      </w:r>
      <w:r w:rsidR="003B3BC1">
        <w:rPr>
          <w:sz w:val="22"/>
        </w:rPr>
        <w:t>. ESTATE</w:t>
      </w:r>
      <w:r w:rsidR="00E33BDF">
        <w:rPr>
          <w:sz w:val="22"/>
        </w:rPr>
        <w:t xml:space="preserve"> TAX</w:t>
      </w:r>
    </w:p>
    <w:p w14:paraId="201B9208" w14:textId="77777777" w:rsidR="00AC1227" w:rsidRDefault="00AC1227" w:rsidP="0092708C">
      <w:pPr>
        <w:pStyle w:val="NoSpacing"/>
        <w:jc w:val="both"/>
        <w:rPr>
          <w:sz w:val="22"/>
        </w:rPr>
      </w:pPr>
    </w:p>
    <w:p w14:paraId="5CBDFE18" w14:textId="1704DA5C" w:rsidR="00C23E73" w:rsidRDefault="00096E4A" w:rsidP="0092708C">
      <w:pPr>
        <w:pStyle w:val="NoSpacing"/>
        <w:jc w:val="both"/>
        <w:rPr>
          <w:sz w:val="22"/>
        </w:rPr>
      </w:pPr>
      <w:r>
        <w:rPr>
          <w:sz w:val="22"/>
        </w:rPr>
        <w:t>A.</w:t>
      </w:r>
      <w:r>
        <w:rPr>
          <w:sz w:val="22"/>
        </w:rPr>
        <w:tab/>
      </w:r>
      <w:r w:rsidR="006622CC">
        <w:rPr>
          <w:sz w:val="22"/>
          <w:u w:val="single"/>
        </w:rPr>
        <w:t>Citizens and Residents</w:t>
      </w:r>
      <w:r w:rsidR="006622CC">
        <w:rPr>
          <w:sz w:val="22"/>
        </w:rPr>
        <w:t xml:space="preserve">.  U.S. citizens </w:t>
      </w:r>
      <w:r w:rsidR="00FE647D">
        <w:rPr>
          <w:sz w:val="22"/>
        </w:rPr>
        <w:t xml:space="preserve">are subject to estate and GST taxes on their </w:t>
      </w:r>
      <w:r w:rsidR="00FE647D" w:rsidRPr="00F82AF2">
        <w:rPr>
          <w:b/>
          <w:sz w:val="22"/>
        </w:rPr>
        <w:t>worldwide</w:t>
      </w:r>
      <w:r w:rsidR="00FE647D">
        <w:rPr>
          <w:sz w:val="22"/>
        </w:rPr>
        <w:t xml:space="preserve"> assets.  </w:t>
      </w:r>
      <w:r w:rsidR="00FE647D">
        <w:rPr>
          <w:rFonts w:cs="Times New Roman"/>
          <w:sz w:val="22"/>
        </w:rPr>
        <w:t>§</w:t>
      </w:r>
      <w:r w:rsidR="00FE647D">
        <w:rPr>
          <w:sz w:val="22"/>
        </w:rPr>
        <w:t>2031(a)</w:t>
      </w:r>
      <w:r w:rsidR="00C23E73">
        <w:rPr>
          <w:sz w:val="22"/>
        </w:rPr>
        <w:t xml:space="preserve">.  Dual citizens </w:t>
      </w:r>
      <w:r w:rsidR="006A56B3">
        <w:rPr>
          <w:sz w:val="22"/>
        </w:rPr>
        <w:t xml:space="preserve">are </w:t>
      </w:r>
      <w:r w:rsidR="00C23E73">
        <w:rPr>
          <w:sz w:val="22"/>
        </w:rPr>
        <w:t>potentially subject to double tax.</w:t>
      </w:r>
    </w:p>
    <w:p w14:paraId="7FC9B99A" w14:textId="77777777" w:rsidR="00A16CF6" w:rsidRDefault="00A16CF6" w:rsidP="0092708C">
      <w:pPr>
        <w:pStyle w:val="NoSpacing"/>
        <w:jc w:val="both"/>
        <w:rPr>
          <w:sz w:val="22"/>
        </w:rPr>
      </w:pPr>
    </w:p>
    <w:p w14:paraId="78E255CF" w14:textId="77777777" w:rsidR="00C23E73" w:rsidRDefault="00C23E73" w:rsidP="006A56B3">
      <w:pPr>
        <w:pStyle w:val="NoSpacing"/>
        <w:numPr>
          <w:ilvl w:val="0"/>
          <w:numId w:val="11"/>
        </w:numPr>
        <w:jc w:val="both"/>
        <w:rPr>
          <w:sz w:val="22"/>
        </w:rPr>
      </w:pPr>
      <w:r w:rsidRPr="00A16CF6">
        <w:rPr>
          <w:sz w:val="22"/>
        </w:rPr>
        <w:t xml:space="preserve">The Code states that “a tax is hereby imposed on the transfer of the taxable estate of every decedent </w:t>
      </w:r>
      <w:r w:rsidR="00A16CF6">
        <w:rPr>
          <w:sz w:val="22"/>
        </w:rPr>
        <w:t xml:space="preserve">who </w:t>
      </w:r>
      <w:r w:rsidRPr="00A16CF6">
        <w:rPr>
          <w:sz w:val="22"/>
        </w:rPr>
        <w:t xml:space="preserve">is a citizen or resident of the United States.”  </w:t>
      </w:r>
      <w:r w:rsidRPr="00A16CF6">
        <w:rPr>
          <w:rFonts w:cs="Times New Roman"/>
          <w:sz w:val="22"/>
        </w:rPr>
        <w:t>§</w:t>
      </w:r>
      <w:r w:rsidRPr="00A16CF6">
        <w:rPr>
          <w:sz w:val="22"/>
        </w:rPr>
        <w:t>2001(a).</w:t>
      </w:r>
    </w:p>
    <w:p w14:paraId="1E02D29F" w14:textId="77777777" w:rsidR="00096E4A" w:rsidRPr="00A16CF6" w:rsidRDefault="00096E4A" w:rsidP="00096E4A">
      <w:pPr>
        <w:pStyle w:val="NoSpacing"/>
        <w:ind w:left="720"/>
        <w:jc w:val="both"/>
        <w:rPr>
          <w:sz w:val="22"/>
        </w:rPr>
      </w:pPr>
    </w:p>
    <w:p w14:paraId="6D56F14E" w14:textId="40047E7F" w:rsidR="00A16CF6" w:rsidRPr="00A16CF6" w:rsidRDefault="00A3679E" w:rsidP="006A56B3">
      <w:pPr>
        <w:pStyle w:val="NoSpacing"/>
        <w:numPr>
          <w:ilvl w:val="0"/>
          <w:numId w:val="11"/>
        </w:numPr>
        <w:jc w:val="both"/>
        <w:rPr>
          <w:sz w:val="22"/>
        </w:rPr>
      </w:pPr>
      <w:r>
        <w:rPr>
          <w:i/>
          <w:sz w:val="22"/>
        </w:rPr>
        <w:t>“Resident”</w:t>
      </w:r>
      <w:r>
        <w:rPr>
          <w:sz w:val="22"/>
        </w:rPr>
        <w:t xml:space="preserve">:  </w:t>
      </w:r>
      <w:r w:rsidR="000D5253">
        <w:rPr>
          <w:sz w:val="22"/>
        </w:rPr>
        <w:t xml:space="preserve">as indicated above, the definition </w:t>
      </w:r>
      <w:r>
        <w:rPr>
          <w:sz w:val="22"/>
        </w:rPr>
        <w:t>for income tax purposes</w:t>
      </w:r>
      <w:r w:rsidR="000D5253">
        <w:rPr>
          <w:sz w:val="22"/>
        </w:rPr>
        <w:t xml:space="preserve"> is not the same as for transfer tax purposes</w:t>
      </w:r>
      <w:r w:rsidR="003527F4">
        <w:rPr>
          <w:sz w:val="22"/>
        </w:rPr>
        <w:t xml:space="preserve"> and domicile principles apply.</w:t>
      </w:r>
    </w:p>
    <w:p w14:paraId="17754A88" w14:textId="77777777" w:rsidR="00AC1227" w:rsidRDefault="00AC1227" w:rsidP="007B2BF7">
      <w:pPr>
        <w:pStyle w:val="NoSpacing"/>
        <w:jc w:val="both"/>
        <w:rPr>
          <w:sz w:val="22"/>
        </w:rPr>
      </w:pPr>
      <w:bookmarkStart w:id="1" w:name="a0d4n0k9r7"/>
      <w:bookmarkStart w:id="2" w:name="a0d4n0k9t5"/>
      <w:bookmarkStart w:id="3" w:name="a0d4n0k9t6"/>
      <w:bookmarkEnd w:id="1"/>
      <w:bookmarkEnd w:id="2"/>
      <w:bookmarkEnd w:id="3"/>
    </w:p>
    <w:p w14:paraId="09B9001A" w14:textId="17931174" w:rsidR="00FA34DE" w:rsidRDefault="00B03D75" w:rsidP="00FA34DE">
      <w:pPr>
        <w:pStyle w:val="NoSpacing"/>
        <w:jc w:val="both"/>
        <w:rPr>
          <w:sz w:val="22"/>
        </w:rPr>
      </w:pPr>
      <w:r>
        <w:rPr>
          <w:sz w:val="22"/>
        </w:rPr>
        <w:t>B</w:t>
      </w:r>
      <w:r w:rsidR="004838CD">
        <w:rPr>
          <w:sz w:val="22"/>
        </w:rPr>
        <w:t>.</w:t>
      </w:r>
      <w:r w:rsidR="004838CD">
        <w:rPr>
          <w:sz w:val="22"/>
        </w:rPr>
        <w:tab/>
      </w:r>
      <w:r w:rsidR="007B2BF7">
        <w:rPr>
          <w:sz w:val="22"/>
          <w:u w:val="single"/>
        </w:rPr>
        <w:t>Nonresident Non-Citizens (“NRNCs”</w:t>
      </w:r>
      <w:r w:rsidR="003B3BC1">
        <w:rPr>
          <w:sz w:val="22"/>
          <w:u w:val="single"/>
        </w:rPr>
        <w:t>)</w:t>
      </w:r>
      <w:r w:rsidR="007B2BF7">
        <w:rPr>
          <w:sz w:val="22"/>
        </w:rPr>
        <w:t xml:space="preserve">.  </w:t>
      </w:r>
      <w:r w:rsidR="002B3815">
        <w:rPr>
          <w:sz w:val="22"/>
        </w:rPr>
        <w:t xml:space="preserve"> Estate tax applies to gross estate of (i) </w:t>
      </w:r>
      <w:r w:rsidR="00FA34DE">
        <w:rPr>
          <w:sz w:val="22"/>
        </w:rPr>
        <w:t xml:space="preserve">tangible and intangible </w:t>
      </w:r>
      <w:r w:rsidR="002B3815">
        <w:rPr>
          <w:sz w:val="22"/>
        </w:rPr>
        <w:t>assets situate in U.S., and (ii) U.S. situs properties in which decedent had an interest, deemed to have an interest,</w:t>
      </w:r>
      <w:r w:rsidR="00FA34DE">
        <w:rPr>
          <w:sz w:val="22"/>
        </w:rPr>
        <w:t xml:space="preserve"> or had certain rights or powers over the property within the meaning of </w:t>
      </w:r>
      <w:r w:rsidR="00FA34DE">
        <w:rPr>
          <w:rFonts w:cs="Times New Roman"/>
          <w:sz w:val="22"/>
        </w:rPr>
        <w:t>§§</w:t>
      </w:r>
      <w:r w:rsidR="00FA34DE">
        <w:rPr>
          <w:sz w:val="22"/>
        </w:rPr>
        <w:t xml:space="preserve"> 2033 </w:t>
      </w:r>
      <w:r w:rsidR="00C43994">
        <w:rPr>
          <w:sz w:val="22"/>
        </w:rPr>
        <w:t>–</w:t>
      </w:r>
      <w:r w:rsidR="00810806">
        <w:rPr>
          <w:sz w:val="22"/>
        </w:rPr>
        <w:t xml:space="preserve"> </w:t>
      </w:r>
      <w:r w:rsidR="00FA34DE">
        <w:rPr>
          <w:sz w:val="22"/>
        </w:rPr>
        <w:t xml:space="preserve">2046.  </w:t>
      </w:r>
      <w:r w:rsidR="00FA34DE">
        <w:rPr>
          <w:i/>
          <w:sz w:val="22"/>
        </w:rPr>
        <w:t xml:space="preserve">See, </w:t>
      </w:r>
      <w:r w:rsidR="00FA34DE">
        <w:rPr>
          <w:rFonts w:cs="Times New Roman"/>
          <w:i/>
          <w:sz w:val="22"/>
        </w:rPr>
        <w:t>§§</w:t>
      </w:r>
      <w:r w:rsidR="00FA34DE">
        <w:rPr>
          <w:i/>
          <w:sz w:val="22"/>
        </w:rPr>
        <w:t xml:space="preserve"> 2103, 2104(b).</w:t>
      </w:r>
    </w:p>
    <w:p w14:paraId="19459DDE" w14:textId="77777777" w:rsidR="00FA34DE" w:rsidRDefault="00FA34DE" w:rsidP="00FA34DE">
      <w:pPr>
        <w:pStyle w:val="NoSpacing"/>
        <w:jc w:val="both"/>
        <w:rPr>
          <w:sz w:val="22"/>
        </w:rPr>
      </w:pPr>
    </w:p>
    <w:p w14:paraId="1EC61EE0" w14:textId="3C4E4631" w:rsidR="00FA34DE" w:rsidRDefault="00FA34DE" w:rsidP="00FA34DE">
      <w:pPr>
        <w:pStyle w:val="NoSpacing"/>
        <w:jc w:val="both"/>
        <w:rPr>
          <w:sz w:val="22"/>
        </w:rPr>
      </w:pPr>
      <w:r>
        <w:rPr>
          <w:sz w:val="22"/>
        </w:rPr>
        <w:tab/>
      </w:r>
      <w:r w:rsidR="00B03D75">
        <w:rPr>
          <w:sz w:val="22"/>
          <w:u w:val="single"/>
        </w:rPr>
        <w:t>NRNC’s Gross Estate</w:t>
      </w:r>
      <w:r>
        <w:rPr>
          <w:sz w:val="22"/>
        </w:rPr>
        <w:t>.</w:t>
      </w:r>
    </w:p>
    <w:p w14:paraId="21E7A33D" w14:textId="77777777" w:rsidR="00B03D75" w:rsidRDefault="00B03D75" w:rsidP="00FA34DE">
      <w:pPr>
        <w:pStyle w:val="NoSpacing"/>
        <w:jc w:val="both"/>
        <w:rPr>
          <w:sz w:val="22"/>
        </w:rPr>
      </w:pPr>
    </w:p>
    <w:p w14:paraId="134D857C" w14:textId="5BC16C82" w:rsidR="00EE57D1" w:rsidRPr="006A56B3" w:rsidRDefault="00B03D75" w:rsidP="006A56B3">
      <w:pPr>
        <w:pStyle w:val="NoSpacing"/>
        <w:numPr>
          <w:ilvl w:val="0"/>
          <w:numId w:val="13"/>
        </w:numPr>
        <w:jc w:val="both"/>
        <w:rPr>
          <w:i/>
          <w:sz w:val="22"/>
        </w:rPr>
      </w:pPr>
      <w:r>
        <w:rPr>
          <w:i/>
          <w:sz w:val="22"/>
        </w:rPr>
        <w:t>Real Estate and Tangible Personal Property.</w:t>
      </w:r>
      <w:r>
        <w:rPr>
          <w:sz w:val="22"/>
        </w:rPr>
        <w:t xml:space="preserve">  If </w:t>
      </w:r>
      <w:r w:rsidR="00044597">
        <w:rPr>
          <w:sz w:val="22"/>
        </w:rPr>
        <w:t xml:space="preserve">asset </w:t>
      </w:r>
      <w:r>
        <w:rPr>
          <w:sz w:val="22"/>
        </w:rPr>
        <w:t>physically located in U.S., then part of gross estate.</w:t>
      </w:r>
    </w:p>
    <w:p w14:paraId="56E68389" w14:textId="77777777" w:rsidR="00B03D75" w:rsidRPr="00B03D75" w:rsidRDefault="00B03D75" w:rsidP="00B03D75">
      <w:pPr>
        <w:pStyle w:val="NoSpacing"/>
        <w:jc w:val="both"/>
        <w:rPr>
          <w:i/>
          <w:sz w:val="22"/>
        </w:rPr>
      </w:pPr>
    </w:p>
    <w:p w14:paraId="2BA4A1BA" w14:textId="093A3DD8" w:rsidR="002B3815" w:rsidRPr="00DF231A" w:rsidRDefault="00B03D75" w:rsidP="006A56B3">
      <w:pPr>
        <w:pStyle w:val="NoSpacing"/>
        <w:numPr>
          <w:ilvl w:val="1"/>
          <w:numId w:val="13"/>
        </w:numPr>
        <w:jc w:val="both"/>
        <w:rPr>
          <w:i/>
          <w:sz w:val="22"/>
        </w:rPr>
      </w:pPr>
      <w:r w:rsidRPr="00B03D75">
        <w:rPr>
          <w:i/>
          <w:sz w:val="22"/>
          <w:u w:val="single"/>
        </w:rPr>
        <w:t>Works of Art</w:t>
      </w:r>
      <w:r>
        <w:rPr>
          <w:sz w:val="22"/>
          <w:u w:val="single"/>
        </w:rPr>
        <w:t xml:space="preserve"> </w:t>
      </w:r>
      <w:r w:rsidRPr="003527F4">
        <w:rPr>
          <w:i/>
          <w:sz w:val="22"/>
          <w:u w:val="single"/>
        </w:rPr>
        <w:t>Exception</w:t>
      </w:r>
      <w:r>
        <w:rPr>
          <w:sz w:val="22"/>
        </w:rPr>
        <w:t xml:space="preserve">.  </w:t>
      </w:r>
      <w:r w:rsidR="000E5C90">
        <w:rPr>
          <w:sz w:val="22"/>
        </w:rPr>
        <w:t xml:space="preserve">Public exhibition; on loan to public nonprofit gallery or museum; or, on exhibition or en </w:t>
      </w:r>
      <w:r w:rsidR="00CD3BC0">
        <w:rPr>
          <w:sz w:val="22"/>
        </w:rPr>
        <w:t>route to</w:t>
      </w:r>
      <w:r w:rsidR="000E5C90">
        <w:rPr>
          <w:sz w:val="22"/>
        </w:rPr>
        <w:t xml:space="preserve"> an exhibition.</w:t>
      </w:r>
    </w:p>
    <w:p w14:paraId="67DE485A" w14:textId="77777777" w:rsidR="00DF231A" w:rsidRPr="000E5C90" w:rsidRDefault="00DF231A" w:rsidP="00DF231A">
      <w:pPr>
        <w:pStyle w:val="NoSpacing"/>
        <w:jc w:val="both"/>
        <w:rPr>
          <w:i/>
          <w:sz w:val="22"/>
        </w:rPr>
      </w:pPr>
    </w:p>
    <w:p w14:paraId="739B5E56" w14:textId="7AADF794" w:rsidR="000E5C90" w:rsidRDefault="000E5C90" w:rsidP="006A56B3">
      <w:pPr>
        <w:pStyle w:val="NoSpacing"/>
        <w:numPr>
          <w:ilvl w:val="0"/>
          <w:numId w:val="13"/>
        </w:numPr>
        <w:jc w:val="both"/>
        <w:rPr>
          <w:sz w:val="22"/>
        </w:rPr>
      </w:pPr>
      <w:r>
        <w:rPr>
          <w:i/>
          <w:sz w:val="22"/>
        </w:rPr>
        <w:t>Stock</w:t>
      </w:r>
      <w:r w:rsidRPr="000E5C90">
        <w:rPr>
          <w:sz w:val="22"/>
        </w:rPr>
        <w:t>.</w:t>
      </w:r>
      <w:r>
        <w:rPr>
          <w:sz w:val="22"/>
        </w:rPr>
        <w:t xml:space="preserve">  Actual </w:t>
      </w:r>
      <w:r w:rsidR="00F72F0D">
        <w:rPr>
          <w:sz w:val="22"/>
        </w:rPr>
        <w:t>p</w:t>
      </w:r>
      <w:r>
        <w:rPr>
          <w:sz w:val="22"/>
        </w:rPr>
        <w:t xml:space="preserve">hysical location is </w:t>
      </w:r>
      <w:r w:rsidR="00151498">
        <w:rPr>
          <w:sz w:val="22"/>
        </w:rPr>
        <w:t xml:space="preserve">may not be </w:t>
      </w:r>
      <w:r>
        <w:rPr>
          <w:sz w:val="22"/>
        </w:rPr>
        <w:t>determinative.</w:t>
      </w:r>
    </w:p>
    <w:p w14:paraId="74A6C767" w14:textId="77777777" w:rsidR="00F3072D" w:rsidRDefault="00F3072D" w:rsidP="00F3072D">
      <w:pPr>
        <w:pStyle w:val="NoSpacing"/>
        <w:ind w:left="1440"/>
        <w:jc w:val="both"/>
        <w:rPr>
          <w:sz w:val="22"/>
        </w:rPr>
      </w:pPr>
    </w:p>
    <w:p w14:paraId="705C190F" w14:textId="279A7FD9" w:rsidR="000E5C90" w:rsidRDefault="000E5C90" w:rsidP="006A56B3">
      <w:pPr>
        <w:pStyle w:val="NoSpacing"/>
        <w:numPr>
          <w:ilvl w:val="1"/>
          <w:numId w:val="13"/>
        </w:numPr>
        <w:jc w:val="both"/>
        <w:rPr>
          <w:sz w:val="22"/>
        </w:rPr>
      </w:pPr>
      <w:r>
        <w:rPr>
          <w:sz w:val="22"/>
          <w:u w:val="single"/>
        </w:rPr>
        <w:t>U.S. Issued Shares</w:t>
      </w:r>
      <w:r>
        <w:rPr>
          <w:sz w:val="22"/>
        </w:rPr>
        <w:t>.  Located in U.S. and part of gross estate.</w:t>
      </w:r>
    </w:p>
    <w:p w14:paraId="07759CD1" w14:textId="77777777" w:rsidR="003527F4" w:rsidRDefault="003527F4" w:rsidP="003527F4">
      <w:pPr>
        <w:pStyle w:val="NoSpacing"/>
        <w:ind w:left="2160"/>
        <w:jc w:val="both"/>
        <w:rPr>
          <w:sz w:val="22"/>
        </w:rPr>
      </w:pPr>
    </w:p>
    <w:p w14:paraId="0DE1B99D" w14:textId="7B06C26E" w:rsidR="000E5C90" w:rsidRDefault="000E5C90" w:rsidP="006A56B3">
      <w:pPr>
        <w:pStyle w:val="NoSpacing"/>
        <w:numPr>
          <w:ilvl w:val="1"/>
          <w:numId w:val="13"/>
        </w:numPr>
        <w:jc w:val="both"/>
        <w:rPr>
          <w:sz w:val="22"/>
        </w:rPr>
      </w:pPr>
      <w:r>
        <w:rPr>
          <w:sz w:val="22"/>
          <w:u w:val="single"/>
        </w:rPr>
        <w:t>Foreign Issued Shares</w:t>
      </w:r>
      <w:r>
        <w:rPr>
          <w:sz w:val="22"/>
        </w:rPr>
        <w:t>.  Located outside U.S.</w:t>
      </w:r>
      <w:r w:rsidR="00F3072D">
        <w:rPr>
          <w:sz w:val="22"/>
        </w:rPr>
        <w:t>.  Often used planning technique is for the NRNC to organize a foreign corporation to hold U.S. situs assets.</w:t>
      </w:r>
    </w:p>
    <w:p w14:paraId="02B44D58" w14:textId="77777777" w:rsidR="00FE397F" w:rsidRDefault="00FE397F" w:rsidP="00FE397F">
      <w:pPr>
        <w:pStyle w:val="NoSpacing"/>
        <w:jc w:val="both"/>
        <w:rPr>
          <w:sz w:val="22"/>
        </w:rPr>
      </w:pPr>
    </w:p>
    <w:p w14:paraId="15E56267" w14:textId="38B2BF5A" w:rsidR="001F7256" w:rsidRDefault="00FE397F" w:rsidP="006A56B3">
      <w:pPr>
        <w:pStyle w:val="NoSpacing"/>
        <w:numPr>
          <w:ilvl w:val="0"/>
          <w:numId w:val="25"/>
        </w:numPr>
        <w:jc w:val="both"/>
        <w:rPr>
          <w:sz w:val="22"/>
        </w:rPr>
      </w:pPr>
      <w:r>
        <w:rPr>
          <w:i/>
          <w:sz w:val="22"/>
        </w:rPr>
        <w:t>Life Insurance</w:t>
      </w:r>
      <w:r>
        <w:rPr>
          <w:sz w:val="22"/>
        </w:rPr>
        <w:t>.  All policies, regardless of issuer’s situs, treated as a non-US asset</w:t>
      </w:r>
      <w:r w:rsidR="003209E0">
        <w:rPr>
          <w:sz w:val="22"/>
        </w:rPr>
        <w:t>.</w:t>
      </w:r>
    </w:p>
    <w:p w14:paraId="79B661F0" w14:textId="77777777" w:rsidR="00FE397F" w:rsidRDefault="00FE397F" w:rsidP="00FE397F">
      <w:pPr>
        <w:pStyle w:val="NoSpacing"/>
        <w:ind w:left="1440"/>
        <w:jc w:val="both"/>
        <w:rPr>
          <w:sz w:val="22"/>
        </w:rPr>
      </w:pPr>
    </w:p>
    <w:p w14:paraId="6D187F65" w14:textId="2F0B1E64" w:rsidR="00982BEA" w:rsidRDefault="00FE397F" w:rsidP="006A56B3">
      <w:pPr>
        <w:pStyle w:val="NoSpacing"/>
        <w:numPr>
          <w:ilvl w:val="0"/>
          <w:numId w:val="13"/>
        </w:numPr>
        <w:jc w:val="both"/>
        <w:rPr>
          <w:sz w:val="22"/>
        </w:rPr>
      </w:pPr>
      <w:r>
        <w:rPr>
          <w:i/>
          <w:sz w:val="22"/>
        </w:rPr>
        <w:t>Portfolio Debt</w:t>
      </w:r>
      <w:r>
        <w:rPr>
          <w:sz w:val="22"/>
        </w:rPr>
        <w:t xml:space="preserve">.  Debt obligations of banks, </w:t>
      </w:r>
      <w:r w:rsidR="009F0927">
        <w:rPr>
          <w:sz w:val="22"/>
        </w:rPr>
        <w:t>savings</w:t>
      </w:r>
      <w:r>
        <w:rPr>
          <w:sz w:val="22"/>
        </w:rPr>
        <w:t xml:space="preserve"> and loans and similar organizations </w:t>
      </w:r>
      <w:r w:rsidR="009F0927">
        <w:rPr>
          <w:sz w:val="22"/>
        </w:rPr>
        <w:t>e</w:t>
      </w:r>
      <w:r w:rsidR="001F7256" w:rsidRPr="009F0927">
        <w:rPr>
          <w:sz w:val="22"/>
        </w:rPr>
        <w:t xml:space="preserve">xcludible if interest exempt from U.S. income tax under </w:t>
      </w:r>
      <w:r w:rsidR="003527F4">
        <w:rPr>
          <w:rFonts w:cs="Times New Roman"/>
          <w:sz w:val="22"/>
        </w:rPr>
        <w:t>§</w:t>
      </w:r>
      <w:r w:rsidR="00CD3BC0" w:rsidRPr="009F0927">
        <w:rPr>
          <w:sz w:val="22"/>
        </w:rPr>
        <w:t xml:space="preserve">871(h)(1).  Caveat contingent </w:t>
      </w:r>
      <w:r w:rsidRPr="009F0927">
        <w:rPr>
          <w:sz w:val="22"/>
        </w:rPr>
        <w:t>interest that may be considered</w:t>
      </w:r>
      <w:r w:rsidR="00CD3BC0" w:rsidRPr="009F0927">
        <w:rPr>
          <w:sz w:val="22"/>
        </w:rPr>
        <w:t xml:space="preserve"> situate in the U.S. </w:t>
      </w:r>
      <w:r w:rsidR="003527F4">
        <w:rPr>
          <w:sz w:val="22"/>
        </w:rPr>
        <w:t xml:space="preserve"> </w:t>
      </w:r>
      <w:r w:rsidR="003527F4">
        <w:rPr>
          <w:rFonts w:cs="Times New Roman"/>
          <w:sz w:val="22"/>
        </w:rPr>
        <w:t>§</w:t>
      </w:r>
      <w:r w:rsidR="00CD3BC0" w:rsidRPr="009F0927">
        <w:rPr>
          <w:sz w:val="22"/>
        </w:rPr>
        <w:t>2105(b)(3).</w:t>
      </w:r>
    </w:p>
    <w:p w14:paraId="5C1C2B36" w14:textId="77777777" w:rsidR="009F0927" w:rsidRDefault="009F0927" w:rsidP="009F0927">
      <w:pPr>
        <w:pStyle w:val="NoSpacing"/>
        <w:jc w:val="both"/>
        <w:rPr>
          <w:sz w:val="22"/>
        </w:rPr>
      </w:pPr>
    </w:p>
    <w:p w14:paraId="7674A4A6" w14:textId="108DFD52" w:rsidR="00CD3BC0" w:rsidRDefault="00CD3BC0" w:rsidP="006A56B3">
      <w:pPr>
        <w:pStyle w:val="NoSpacing"/>
        <w:numPr>
          <w:ilvl w:val="0"/>
          <w:numId w:val="13"/>
        </w:numPr>
        <w:jc w:val="both"/>
        <w:rPr>
          <w:sz w:val="22"/>
        </w:rPr>
      </w:pPr>
      <w:r>
        <w:rPr>
          <w:i/>
          <w:sz w:val="22"/>
        </w:rPr>
        <w:t>Deposits.</w:t>
      </w:r>
      <w:r>
        <w:rPr>
          <w:sz w:val="22"/>
        </w:rPr>
        <w:t xml:space="preserve">  Spe</w:t>
      </w:r>
      <w:r w:rsidR="00982BEA">
        <w:rPr>
          <w:sz w:val="22"/>
        </w:rPr>
        <w:t>ci</w:t>
      </w:r>
      <w:r>
        <w:rPr>
          <w:sz w:val="22"/>
        </w:rPr>
        <w:t>fied deposits are treated outside the U.S.</w:t>
      </w:r>
      <w:r w:rsidR="00982BEA">
        <w:rPr>
          <w:sz w:val="22"/>
        </w:rPr>
        <w:t xml:space="preserve"> if not connected with a U.S. trade or business.</w:t>
      </w:r>
    </w:p>
    <w:p w14:paraId="6F439ED0" w14:textId="77777777" w:rsidR="006A56B3" w:rsidRDefault="006A56B3" w:rsidP="006A56B3">
      <w:pPr>
        <w:pStyle w:val="NoSpacing"/>
        <w:jc w:val="both"/>
        <w:rPr>
          <w:sz w:val="22"/>
        </w:rPr>
      </w:pPr>
    </w:p>
    <w:p w14:paraId="02655A81" w14:textId="3E761A7B" w:rsidR="00982BEA" w:rsidRDefault="00982BEA" w:rsidP="006A56B3">
      <w:pPr>
        <w:pStyle w:val="NoSpacing"/>
        <w:numPr>
          <w:ilvl w:val="1"/>
          <w:numId w:val="13"/>
        </w:numPr>
        <w:jc w:val="both"/>
        <w:rPr>
          <w:sz w:val="22"/>
        </w:rPr>
      </w:pPr>
      <w:r>
        <w:rPr>
          <w:sz w:val="22"/>
        </w:rPr>
        <w:t>U.S. bank.</w:t>
      </w:r>
    </w:p>
    <w:p w14:paraId="4F60CAE5" w14:textId="77777777" w:rsidR="006A56B3" w:rsidRDefault="006A56B3" w:rsidP="006A56B3">
      <w:pPr>
        <w:pStyle w:val="NoSpacing"/>
        <w:ind w:left="2160"/>
        <w:jc w:val="both"/>
        <w:rPr>
          <w:sz w:val="22"/>
        </w:rPr>
      </w:pPr>
    </w:p>
    <w:p w14:paraId="323BE2BC" w14:textId="39A664A6" w:rsidR="00982BEA" w:rsidRDefault="00982BEA" w:rsidP="006A56B3">
      <w:pPr>
        <w:pStyle w:val="NoSpacing"/>
        <w:numPr>
          <w:ilvl w:val="1"/>
          <w:numId w:val="13"/>
        </w:numPr>
        <w:jc w:val="both"/>
        <w:rPr>
          <w:sz w:val="22"/>
        </w:rPr>
      </w:pPr>
      <w:r>
        <w:rPr>
          <w:sz w:val="22"/>
        </w:rPr>
        <w:t>Savings and loan associations supervised by state or federal law.</w:t>
      </w:r>
    </w:p>
    <w:p w14:paraId="4F548D68" w14:textId="77777777" w:rsidR="006A56B3" w:rsidRDefault="006A56B3" w:rsidP="006A56B3">
      <w:pPr>
        <w:pStyle w:val="NoSpacing"/>
        <w:jc w:val="both"/>
        <w:rPr>
          <w:sz w:val="22"/>
        </w:rPr>
      </w:pPr>
    </w:p>
    <w:p w14:paraId="53E2AA26" w14:textId="5B1F3F09" w:rsidR="00982BEA" w:rsidRDefault="00982BEA" w:rsidP="006A56B3">
      <w:pPr>
        <w:pStyle w:val="NoSpacing"/>
        <w:numPr>
          <w:ilvl w:val="1"/>
          <w:numId w:val="13"/>
        </w:numPr>
        <w:jc w:val="both"/>
        <w:rPr>
          <w:sz w:val="22"/>
        </w:rPr>
      </w:pPr>
      <w:r>
        <w:rPr>
          <w:sz w:val="22"/>
        </w:rPr>
        <w:t>Amounts held by U.S. insurance companies under an agreement to pay interest.</w:t>
      </w:r>
    </w:p>
    <w:p w14:paraId="13AE419D" w14:textId="77777777" w:rsidR="006A56B3" w:rsidRDefault="006A56B3" w:rsidP="006A56B3">
      <w:pPr>
        <w:pStyle w:val="NoSpacing"/>
        <w:jc w:val="both"/>
        <w:rPr>
          <w:sz w:val="22"/>
        </w:rPr>
      </w:pPr>
    </w:p>
    <w:p w14:paraId="0C595BB1" w14:textId="61D96C31" w:rsidR="00982BEA" w:rsidRDefault="00982BEA" w:rsidP="006A56B3">
      <w:pPr>
        <w:pStyle w:val="NoSpacing"/>
        <w:numPr>
          <w:ilvl w:val="1"/>
          <w:numId w:val="13"/>
        </w:numPr>
        <w:jc w:val="both"/>
        <w:rPr>
          <w:sz w:val="22"/>
        </w:rPr>
      </w:pPr>
      <w:r>
        <w:rPr>
          <w:sz w:val="22"/>
        </w:rPr>
        <w:t>Foreign branch of a U.S. bank.</w:t>
      </w:r>
    </w:p>
    <w:p w14:paraId="107398C7" w14:textId="77777777" w:rsidR="00C43994" w:rsidRDefault="00C43994" w:rsidP="00C43994">
      <w:pPr>
        <w:pStyle w:val="ListParagraph"/>
        <w:rPr>
          <w:sz w:val="22"/>
        </w:rPr>
      </w:pPr>
    </w:p>
    <w:p w14:paraId="3FB29088" w14:textId="77777777" w:rsidR="009F0927" w:rsidRDefault="009F0927" w:rsidP="009F0927">
      <w:pPr>
        <w:pStyle w:val="NoSpacing"/>
        <w:jc w:val="both"/>
        <w:rPr>
          <w:sz w:val="22"/>
        </w:rPr>
      </w:pPr>
    </w:p>
    <w:p w14:paraId="405F8A0C" w14:textId="364CE660" w:rsidR="009F0927" w:rsidRDefault="009F0927" w:rsidP="006A56B3">
      <w:pPr>
        <w:pStyle w:val="NoSpacing"/>
        <w:numPr>
          <w:ilvl w:val="0"/>
          <w:numId w:val="26"/>
        </w:numPr>
        <w:jc w:val="both"/>
        <w:rPr>
          <w:sz w:val="22"/>
        </w:rPr>
      </w:pPr>
      <w:r>
        <w:rPr>
          <w:i/>
          <w:sz w:val="22"/>
        </w:rPr>
        <w:lastRenderedPageBreak/>
        <w:t>Non-portfolio Debt Obligations</w:t>
      </w:r>
      <w:r w:rsidR="003209E0">
        <w:rPr>
          <w:sz w:val="22"/>
        </w:rPr>
        <w:t>.  Debt obligations of U.S. persons are treated as a</w:t>
      </w:r>
      <w:r w:rsidR="00F3072D">
        <w:rPr>
          <w:sz w:val="22"/>
        </w:rPr>
        <w:t xml:space="preserve"> U.S. situs</w:t>
      </w:r>
      <w:r w:rsidR="003209E0">
        <w:rPr>
          <w:sz w:val="22"/>
        </w:rPr>
        <w:t xml:space="preserve"> asset subject to the estate tax, </w:t>
      </w:r>
      <w:r w:rsidR="003209E0">
        <w:rPr>
          <w:i/>
          <w:sz w:val="22"/>
        </w:rPr>
        <w:t>e.g.,</w:t>
      </w:r>
      <w:r w:rsidR="003209E0">
        <w:rPr>
          <w:sz w:val="22"/>
        </w:rPr>
        <w:t xml:space="preserve"> the promissory note </w:t>
      </w:r>
      <w:r w:rsidR="003F48C4">
        <w:rPr>
          <w:sz w:val="22"/>
        </w:rPr>
        <w:t>of a</w:t>
      </w:r>
      <w:r w:rsidR="003209E0">
        <w:rPr>
          <w:sz w:val="22"/>
        </w:rPr>
        <w:t xml:space="preserve"> U.S. citizen for a loan made by a noncitizen is part of the noncitizen’s </w:t>
      </w:r>
      <w:r w:rsidR="00F3072D">
        <w:rPr>
          <w:sz w:val="22"/>
        </w:rPr>
        <w:t xml:space="preserve">U.S. </w:t>
      </w:r>
      <w:r w:rsidR="003209E0">
        <w:rPr>
          <w:sz w:val="22"/>
        </w:rPr>
        <w:t>gross estate.</w:t>
      </w:r>
    </w:p>
    <w:p w14:paraId="2C3FC3A1" w14:textId="77777777" w:rsidR="009F0927" w:rsidRPr="000E5C90" w:rsidRDefault="009F0927" w:rsidP="009F0927">
      <w:pPr>
        <w:pStyle w:val="NoSpacing"/>
        <w:ind w:left="720"/>
        <w:jc w:val="both"/>
        <w:rPr>
          <w:sz w:val="22"/>
        </w:rPr>
      </w:pPr>
    </w:p>
    <w:p w14:paraId="5F7ECFFF" w14:textId="70840525" w:rsidR="003209E0" w:rsidRPr="000E5C90" w:rsidRDefault="00F3072D" w:rsidP="00F3072D">
      <w:pPr>
        <w:pStyle w:val="NoSpacing"/>
        <w:ind w:left="1080"/>
        <w:jc w:val="both"/>
        <w:rPr>
          <w:i/>
          <w:sz w:val="22"/>
        </w:rPr>
      </w:pPr>
      <w:r>
        <w:rPr>
          <w:i/>
          <w:sz w:val="22"/>
        </w:rPr>
        <w:tab/>
      </w:r>
      <w:r>
        <w:rPr>
          <w:i/>
          <w:sz w:val="22"/>
        </w:rPr>
        <w:tab/>
      </w:r>
      <w:r>
        <w:rPr>
          <w:sz w:val="22"/>
          <w:u w:val="single"/>
        </w:rPr>
        <w:t>Example #5</w:t>
      </w:r>
      <w:r w:rsidR="003209E0">
        <w:rPr>
          <w:i/>
          <w:sz w:val="22"/>
        </w:rPr>
        <w:t>.</w:t>
      </w:r>
      <w:r w:rsidR="00912AFF">
        <w:rPr>
          <w:sz w:val="22"/>
        </w:rPr>
        <w:t xml:space="preserve">  The Aspen condo</w:t>
      </w:r>
      <w:r w:rsidR="003F48C4">
        <w:rPr>
          <w:sz w:val="22"/>
        </w:rPr>
        <w:t xml:space="preserve"> and its furnishings</w:t>
      </w:r>
      <w:r w:rsidR="00912AFF">
        <w:rPr>
          <w:sz w:val="22"/>
        </w:rPr>
        <w:t xml:space="preserve">, </w:t>
      </w:r>
      <w:r w:rsidR="003F48C4">
        <w:rPr>
          <w:sz w:val="22"/>
        </w:rPr>
        <w:t xml:space="preserve">the RV in the driveway, the Kandinsky over the fireplace, the loan to a </w:t>
      </w:r>
      <w:r>
        <w:rPr>
          <w:sz w:val="22"/>
        </w:rPr>
        <w:t xml:space="preserve">U.S. </w:t>
      </w:r>
      <w:r w:rsidR="003F48C4">
        <w:rPr>
          <w:sz w:val="22"/>
        </w:rPr>
        <w:t>friend to buy a condo, and the Microsoft shares are U.S.</w:t>
      </w:r>
      <w:r w:rsidR="0041026F">
        <w:rPr>
          <w:sz w:val="22"/>
        </w:rPr>
        <w:t xml:space="preserve"> </w:t>
      </w:r>
      <w:r w:rsidR="003F48C4">
        <w:rPr>
          <w:sz w:val="22"/>
        </w:rPr>
        <w:t xml:space="preserve">situs assets of the NRNC’s U.S. gross estate.  Upon death they are all subject to tax to the extent their </w:t>
      </w:r>
      <w:r w:rsidR="0041026F">
        <w:rPr>
          <w:sz w:val="22"/>
        </w:rPr>
        <w:t xml:space="preserve">combined </w:t>
      </w:r>
      <w:r w:rsidR="003F48C4">
        <w:rPr>
          <w:sz w:val="22"/>
        </w:rPr>
        <w:t>value exceeds $60,000.</w:t>
      </w:r>
    </w:p>
    <w:p w14:paraId="11D64FA8" w14:textId="3FD8C770" w:rsidR="008F65E1" w:rsidRDefault="008F65E1" w:rsidP="00982BEA">
      <w:pPr>
        <w:pStyle w:val="NoSpacing"/>
        <w:jc w:val="both"/>
        <w:rPr>
          <w:sz w:val="22"/>
        </w:rPr>
      </w:pPr>
    </w:p>
    <w:p w14:paraId="65BA9707" w14:textId="77777777" w:rsidR="008F65E1" w:rsidRDefault="008F65E1" w:rsidP="008F65E1">
      <w:pPr>
        <w:pStyle w:val="NoSpacing"/>
        <w:jc w:val="both"/>
        <w:rPr>
          <w:sz w:val="22"/>
        </w:rPr>
      </w:pPr>
      <w:r>
        <w:rPr>
          <w:sz w:val="22"/>
        </w:rPr>
        <w:tab/>
      </w:r>
      <w:r>
        <w:rPr>
          <w:sz w:val="22"/>
          <w:u w:val="single"/>
        </w:rPr>
        <w:t>Tax Calculation</w:t>
      </w:r>
      <w:r>
        <w:rPr>
          <w:sz w:val="22"/>
        </w:rPr>
        <w:t>.</w:t>
      </w:r>
    </w:p>
    <w:p w14:paraId="4E97411A" w14:textId="77777777" w:rsidR="004838CD" w:rsidRDefault="004838CD" w:rsidP="004838CD">
      <w:pPr>
        <w:pStyle w:val="NoSpacing"/>
        <w:ind w:left="1440"/>
        <w:jc w:val="both"/>
        <w:rPr>
          <w:sz w:val="22"/>
        </w:rPr>
      </w:pPr>
    </w:p>
    <w:p w14:paraId="7D1099ED" w14:textId="77777777" w:rsidR="00802924" w:rsidRDefault="008F65E1" w:rsidP="006A56B3">
      <w:pPr>
        <w:pStyle w:val="NoSpacing"/>
        <w:numPr>
          <w:ilvl w:val="0"/>
          <w:numId w:val="14"/>
        </w:numPr>
        <w:jc w:val="both"/>
        <w:rPr>
          <w:sz w:val="22"/>
        </w:rPr>
      </w:pPr>
      <w:r>
        <w:rPr>
          <w:i/>
          <w:sz w:val="22"/>
        </w:rPr>
        <w:t>Deductions.</w:t>
      </w:r>
      <w:r>
        <w:rPr>
          <w:sz w:val="22"/>
        </w:rPr>
        <w:t xml:space="preserve">  </w:t>
      </w:r>
    </w:p>
    <w:p w14:paraId="24DFB360" w14:textId="77777777" w:rsidR="002C249D" w:rsidRDefault="002C249D" w:rsidP="002C249D">
      <w:pPr>
        <w:pStyle w:val="NoSpacing"/>
        <w:ind w:left="1440"/>
        <w:jc w:val="both"/>
        <w:rPr>
          <w:sz w:val="22"/>
        </w:rPr>
      </w:pPr>
    </w:p>
    <w:p w14:paraId="1BA9631B" w14:textId="4D15231F" w:rsidR="008F65E1" w:rsidRDefault="00802924" w:rsidP="00CC7734">
      <w:pPr>
        <w:pStyle w:val="NoSpacing"/>
        <w:numPr>
          <w:ilvl w:val="1"/>
          <w:numId w:val="14"/>
        </w:numPr>
        <w:ind w:left="1800"/>
        <w:jc w:val="both"/>
        <w:rPr>
          <w:sz w:val="22"/>
        </w:rPr>
      </w:pPr>
      <w:r w:rsidRPr="00EA6AFC">
        <w:rPr>
          <w:sz w:val="22"/>
          <w:u w:val="single"/>
        </w:rPr>
        <w:t>Expenses</w:t>
      </w:r>
      <w:r w:rsidR="00EA6AFC">
        <w:rPr>
          <w:sz w:val="22"/>
        </w:rPr>
        <w:t xml:space="preserve"> .  </w:t>
      </w:r>
      <w:r w:rsidR="008F65E1" w:rsidRPr="00EA6AFC">
        <w:rPr>
          <w:sz w:val="22"/>
        </w:rPr>
        <w:t>Generally</w:t>
      </w:r>
      <w:r w:rsidR="00EA6AFC">
        <w:rPr>
          <w:sz w:val="22"/>
        </w:rPr>
        <w:t xml:space="preserve"> prorated relative to proportion of U.S. assets over worldwide assets. </w:t>
      </w:r>
      <w:r w:rsidR="00F53B15">
        <w:rPr>
          <w:sz w:val="22"/>
        </w:rPr>
        <w:t xml:space="preserve"> </w:t>
      </w:r>
      <w:r w:rsidR="00F53B15">
        <w:rPr>
          <w:rFonts w:cs="Times New Roman"/>
          <w:sz w:val="22"/>
        </w:rPr>
        <w:t>§</w:t>
      </w:r>
      <w:r w:rsidR="00F53B15">
        <w:rPr>
          <w:sz w:val="22"/>
        </w:rPr>
        <w:t>2106(a).</w:t>
      </w:r>
    </w:p>
    <w:p w14:paraId="34F13A80" w14:textId="77777777" w:rsidR="002C249D" w:rsidRDefault="002C249D" w:rsidP="002C249D">
      <w:pPr>
        <w:pStyle w:val="NoSpacing"/>
        <w:ind w:left="2160"/>
        <w:jc w:val="both"/>
        <w:rPr>
          <w:sz w:val="22"/>
        </w:rPr>
      </w:pPr>
    </w:p>
    <w:p w14:paraId="4C4BC26C" w14:textId="36F3752E" w:rsidR="008F65E1" w:rsidRDefault="008F65E1" w:rsidP="00CC7734">
      <w:pPr>
        <w:pStyle w:val="NoSpacing"/>
        <w:numPr>
          <w:ilvl w:val="0"/>
          <w:numId w:val="15"/>
        </w:numPr>
        <w:ind w:left="1800"/>
        <w:jc w:val="both"/>
        <w:rPr>
          <w:sz w:val="22"/>
        </w:rPr>
      </w:pPr>
      <w:r>
        <w:rPr>
          <w:sz w:val="22"/>
          <w:u w:val="single"/>
        </w:rPr>
        <w:t>Marital</w:t>
      </w:r>
      <w:r>
        <w:rPr>
          <w:sz w:val="22"/>
        </w:rPr>
        <w:t>.</w:t>
      </w:r>
      <w:r w:rsidR="005A55ED">
        <w:rPr>
          <w:sz w:val="22"/>
        </w:rPr>
        <w:t xml:space="preserve">  Allowable only if spouse is U.S. citizen or if transfer is to a </w:t>
      </w:r>
      <w:r w:rsidR="006600D9">
        <w:rPr>
          <w:sz w:val="22"/>
        </w:rPr>
        <w:t>qualified domestic trust (“</w:t>
      </w:r>
      <w:r w:rsidR="005A55ED">
        <w:rPr>
          <w:sz w:val="22"/>
        </w:rPr>
        <w:t>QDOT</w:t>
      </w:r>
      <w:r w:rsidR="006600D9">
        <w:rPr>
          <w:sz w:val="22"/>
        </w:rPr>
        <w:t>”)</w:t>
      </w:r>
      <w:r w:rsidR="005A55ED">
        <w:rPr>
          <w:sz w:val="22"/>
        </w:rPr>
        <w:t xml:space="preserve">.  </w:t>
      </w:r>
      <w:r w:rsidR="005A55ED">
        <w:rPr>
          <w:rFonts w:cs="Times New Roman"/>
          <w:sz w:val="22"/>
        </w:rPr>
        <w:t>§§</w:t>
      </w:r>
      <w:r w:rsidR="005A55ED">
        <w:rPr>
          <w:sz w:val="22"/>
        </w:rPr>
        <w:t>2106(a)(3), 2056(d).</w:t>
      </w:r>
    </w:p>
    <w:p w14:paraId="255E0510" w14:textId="77777777" w:rsidR="002C249D" w:rsidRDefault="002C249D" w:rsidP="002C249D">
      <w:pPr>
        <w:pStyle w:val="NoSpacing"/>
        <w:ind w:left="2160"/>
        <w:jc w:val="both"/>
        <w:rPr>
          <w:sz w:val="22"/>
        </w:rPr>
      </w:pPr>
    </w:p>
    <w:p w14:paraId="4E5CDF06" w14:textId="77777777" w:rsidR="00CC7734" w:rsidRDefault="00EA6AFC" w:rsidP="002C249D">
      <w:pPr>
        <w:pStyle w:val="NoSpacing"/>
        <w:numPr>
          <w:ilvl w:val="0"/>
          <w:numId w:val="15"/>
        </w:numPr>
        <w:ind w:left="1800"/>
        <w:jc w:val="both"/>
        <w:rPr>
          <w:sz w:val="22"/>
        </w:rPr>
      </w:pPr>
      <w:r w:rsidRPr="003527F4">
        <w:rPr>
          <w:sz w:val="22"/>
          <w:u w:val="single"/>
        </w:rPr>
        <w:t>Charitable</w:t>
      </w:r>
      <w:r w:rsidRPr="003527F4">
        <w:rPr>
          <w:sz w:val="22"/>
        </w:rPr>
        <w:t xml:space="preserve">.  Allowable if to a U.S. entity or </w:t>
      </w:r>
      <w:r w:rsidR="003527F4" w:rsidRPr="003527F4">
        <w:rPr>
          <w:sz w:val="22"/>
        </w:rPr>
        <w:t xml:space="preserve">for </w:t>
      </w:r>
      <w:r w:rsidRPr="003527F4">
        <w:rPr>
          <w:sz w:val="22"/>
        </w:rPr>
        <w:t>use in the U.S</w:t>
      </w:r>
      <w:r w:rsidR="00CC7734">
        <w:rPr>
          <w:sz w:val="22"/>
        </w:rPr>
        <w:t>.</w:t>
      </w:r>
    </w:p>
    <w:p w14:paraId="0070B9BF" w14:textId="77777777" w:rsidR="00CC7734" w:rsidRDefault="008761FD" w:rsidP="00CC7734">
      <w:pPr>
        <w:pStyle w:val="NoSpacing"/>
        <w:ind w:left="1800"/>
        <w:jc w:val="both"/>
        <w:rPr>
          <w:sz w:val="22"/>
        </w:rPr>
      </w:pPr>
      <w:r w:rsidRPr="003527F4">
        <w:rPr>
          <w:sz w:val="22"/>
        </w:rPr>
        <w:tab/>
      </w:r>
    </w:p>
    <w:p w14:paraId="58E0937A" w14:textId="27AD8F0A" w:rsidR="008761FD" w:rsidRDefault="00CC7734" w:rsidP="00CC7734">
      <w:pPr>
        <w:pStyle w:val="NoSpacing"/>
        <w:numPr>
          <w:ilvl w:val="0"/>
          <w:numId w:val="15"/>
        </w:numPr>
        <w:ind w:left="1800"/>
        <w:jc w:val="both"/>
        <w:rPr>
          <w:sz w:val="22"/>
        </w:rPr>
      </w:pPr>
      <w:r>
        <w:rPr>
          <w:sz w:val="22"/>
          <w:u w:val="single"/>
        </w:rPr>
        <w:t>T</w:t>
      </w:r>
      <w:r w:rsidR="008761FD">
        <w:rPr>
          <w:sz w:val="22"/>
          <w:u w:val="single"/>
        </w:rPr>
        <w:t>reaty Override</w:t>
      </w:r>
      <w:r w:rsidR="008761FD">
        <w:rPr>
          <w:sz w:val="22"/>
        </w:rPr>
        <w:t>.  Applicable treaty may increase credit by a fraction the numerator of which is the value of U.S.</w:t>
      </w:r>
      <w:r w:rsidR="006600D9">
        <w:rPr>
          <w:sz w:val="22"/>
        </w:rPr>
        <w:t>-</w:t>
      </w:r>
      <w:r w:rsidR="008761FD">
        <w:rPr>
          <w:sz w:val="22"/>
        </w:rPr>
        <w:t>situs assets and the denominator of which is worldwide gross estate.</w:t>
      </w:r>
    </w:p>
    <w:p w14:paraId="55455374" w14:textId="77777777" w:rsidR="00C60D5C" w:rsidRDefault="00C60D5C" w:rsidP="00C60D5C">
      <w:pPr>
        <w:pStyle w:val="NoSpacing"/>
        <w:jc w:val="both"/>
        <w:rPr>
          <w:sz w:val="22"/>
        </w:rPr>
      </w:pPr>
    </w:p>
    <w:p w14:paraId="73A9364D" w14:textId="77777777" w:rsidR="00C60D5C" w:rsidRDefault="00C60D5C" w:rsidP="006A56B3">
      <w:pPr>
        <w:pStyle w:val="NoSpacing"/>
        <w:numPr>
          <w:ilvl w:val="0"/>
          <w:numId w:val="16"/>
        </w:numPr>
        <w:jc w:val="both"/>
        <w:rPr>
          <w:sz w:val="22"/>
        </w:rPr>
      </w:pPr>
      <w:r>
        <w:rPr>
          <w:i/>
          <w:sz w:val="22"/>
        </w:rPr>
        <w:t>Computation.</w:t>
      </w:r>
      <w:r>
        <w:rPr>
          <w:sz w:val="22"/>
        </w:rPr>
        <w:t xml:space="preserve">  </w:t>
      </w:r>
    </w:p>
    <w:p w14:paraId="22F4F202" w14:textId="77777777" w:rsidR="002C249D" w:rsidRDefault="002C249D" w:rsidP="002C249D">
      <w:pPr>
        <w:pStyle w:val="NoSpacing"/>
        <w:ind w:left="1440"/>
        <w:jc w:val="both"/>
        <w:rPr>
          <w:sz w:val="22"/>
        </w:rPr>
      </w:pPr>
    </w:p>
    <w:p w14:paraId="6A43296F" w14:textId="58463724" w:rsidR="00C60D5C" w:rsidRDefault="002C249D" w:rsidP="00CC7734">
      <w:pPr>
        <w:pStyle w:val="NoSpacing"/>
        <w:numPr>
          <w:ilvl w:val="1"/>
          <w:numId w:val="16"/>
        </w:numPr>
        <w:ind w:left="1800"/>
        <w:jc w:val="both"/>
        <w:rPr>
          <w:sz w:val="22"/>
        </w:rPr>
      </w:pPr>
      <w:r>
        <w:rPr>
          <w:sz w:val="22"/>
          <w:u w:val="single"/>
        </w:rPr>
        <w:t>Gift ”Gross Up.</w:t>
      </w:r>
      <w:r>
        <w:rPr>
          <w:sz w:val="22"/>
        </w:rPr>
        <w:t>”  Pre-death taxable gifts for property located in U.S are added back to determine taxable estate.</w:t>
      </w:r>
    </w:p>
    <w:p w14:paraId="29F4FD3C" w14:textId="77777777" w:rsidR="002C249D" w:rsidRDefault="002C249D" w:rsidP="002C249D">
      <w:pPr>
        <w:pStyle w:val="NoSpacing"/>
        <w:ind w:left="2160"/>
        <w:jc w:val="both"/>
        <w:rPr>
          <w:sz w:val="22"/>
        </w:rPr>
      </w:pPr>
    </w:p>
    <w:p w14:paraId="1E9FCDDC" w14:textId="126FE8D0" w:rsidR="00C60D5C" w:rsidRDefault="00C60D5C" w:rsidP="00CC7734">
      <w:pPr>
        <w:pStyle w:val="NoSpacing"/>
        <w:numPr>
          <w:ilvl w:val="1"/>
          <w:numId w:val="16"/>
        </w:numPr>
        <w:ind w:left="1800"/>
        <w:jc w:val="both"/>
        <w:rPr>
          <w:sz w:val="22"/>
        </w:rPr>
      </w:pPr>
      <w:r>
        <w:rPr>
          <w:sz w:val="22"/>
          <w:u w:val="single"/>
        </w:rPr>
        <w:t>Rate Schedule.</w:t>
      </w:r>
      <w:r>
        <w:rPr>
          <w:sz w:val="22"/>
        </w:rPr>
        <w:t xml:space="preserve">  Same rate schedule as applicable to U.S. citizens and residents.  </w:t>
      </w:r>
      <w:r>
        <w:rPr>
          <w:rFonts w:cs="Times New Roman"/>
          <w:sz w:val="22"/>
        </w:rPr>
        <w:t>§</w:t>
      </w:r>
      <w:r>
        <w:rPr>
          <w:sz w:val="22"/>
        </w:rPr>
        <w:t>2101(b)(1).</w:t>
      </w:r>
    </w:p>
    <w:p w14:paraId="36A3BDB7" w14:textId="77777777" w:rsidR="002C249D" w:rsidRDefault="002C249D" w:rsidP="002C249D">
      <w:pPr>
        <w:pStyle w:val="NoSpacing"/>
        <w:jc w:val="both"/>
        <w:rPr>
          <w:sz w:val="22"/>
        </w:rPr>
      </w:pPr>
    </w:p>
    <w:p w14:paraId="04F26847" w14:textId="6AC9E832" w:rsidR="002C249D" w:rsidRDefault="002C249D" w:rsidP="00CC7734">
      <w:pPr>
        <w:pStyle w:val="NoSpacing"/>
        <w:numPr>
          <w:ilvl w:val="1"/>
          <w:numId w:val="16"/>
        </w:numPr>
        <w:ind w:left="1800"/>
        <w:jc w:val="both"/>
        <w:rPr>
          <w:sz w:val="22"/>
        </w:rPr>
      </w:pPr>
      <w:r>
        <w:rPr>
          <w:sz w:val="22"/>
          <w:u w:val="single"/>
        </w:rPr>
        <w:t>Credit</w:t>
      </w:r>
      <w:r>
        <w:rPr>
          <w:sz w:val="22"/>
        </w:rPr>
        <w:t>.  $13,000.  Equivalent to $60,000 of asset values.</w:t>
      </w:r>
    </w:p>
    <w:p w14:paraId="05584556" w14:textId="77777777" w:rsidR="00F72F0D" w:rsidRDefault="00F72F0D" w:rsidP="00F72F0D">
      <w:pPr>
        <w:pStyle w:val="NoSpacing"/>
        <w:jc w:val="both"/>
        <w:rPr>
          <w:sz w:val="22"/>
        </w:rPr>
      </w:pPr>
    </w:p>
    <w:p w14:paraId="6760F53C" w14:textId="029A5D78" w:rsidR="00F72F0D" w:rsidRDefault="00F72F0D" w:rsidP="006A56B3">
      <w:pPr>
        <w:pStyle w:val="NoSpacing"/>
        <w:numPr>
          <w:ilvl w:val="0"/>
          <w:numId w:val="16"/>
        </w:numPr>
        <w:jc w:val="both"/>
        <w:rPr>
          <w:sz w:val="22"/>
        </w:rPr>
      </w:pPr>
      <w:r>
        <w:rPr>
          <w:i/>
          <w:sz w:val="22"/>
        </w:rPr>
        <w:t>Form.</w:t>
      </w:r>
    </w:p>
    <w:p w14:paraId="7700822F" w14:textId="77777777" w:rsidR="00F72F0D" w:rsidRDefault="00F72F0D" w:rsidP="00F72F0D">
      <w:pPr>
        <w:pStyle w:val="NoSpacing"/>
        <w:jc w:val="both"/>
        <w:rPr>
          <w:sz w:val="22"/>
        </w:rPr>
      </w:pPr>
    </w:p>
    <w:p w14:paraId="698F2AC1" w14:textId="359ED90A" w:rsidR="00F72F0D" w:rsidRPr="00CC7734" w:rsidRDefault="009A14ED" w:rsidP="00CC7734">
      <w:pPr>
        <w:pStyle w:val="NoSpacing"/>
        <w:numPr>
          <w:ilvl w:val="0"/>
          <w:numId w:val="38"/>
        </w:numPr>
        <w:jc w:val="both"/>
        <w:rPr>
          <w:sz w:val="22"/>
        </w:rPr>
      </w:pPr>
      <w:r>
        <w:rPr>
          <w:sz w:val="22"/>
          <w:u w:val="single"/>
        </w:rPr>
        <w:t>706-NA.</w:t>
      </w:r>
    </w:p>
    <w:p w14:paraId="48553DC9" w14:textId="77777777" w:rsidR="00CC7734" w:rsidRPr="009A14ED" w:rsidRDefault="00CC7734" w:rsidP="00CC7734">
      <w:pPr>
        <w:pStyle w:val="NoSpacing"/>
        <w:ind w:left="2160"/>
        <w:jc w:val="both"/>
        <w:rPr>
          <w:sz w:val="22"/>
        </w:rPr>
      </w:pPr>
    </w:p>
    <w:p w14:paraId="3321D126" w14:textId="790DED31" w:rsidR="009A14ED" w:rsidRDefault="009A14ED" w:rsidP="00CC7734">
      <w:pPr>
        <w:pStyle w:val="NoSpacing"/>
        <w:numPr>
          <w:ilvl w:val="0"/>
          <w:numId w:val="38"/>
        </w:numPr>
        <w:tabs>
          <w:tab w:val="left" w:pos="1800"/>
        </w:tabs>
        <w:jc w:val="both"/>
        <w:rPr>
          <w:sz w:val="22"/>
        </w:rPr>
      </w:pPr>
      <w:r>
        <w:rPr>
          <w:sz w:val="22"/>
          <w:u w:val="single"/>
        </w:rPr>
        <w:t>Filing Date.</w:t>
      </w:r>
      <w:r>
        <w:rPr>
          <w:sz w:val="22"/>
        </w:rPr>
        <w:t xml:space="preserve">  9 months after date of death, subject to extension.</w:t>
      </w:r>
    </w:p>
    <w:p w14:paraId="093028FB" w14:textId="77777777" w:rsidR="00CC7734" w:rsidRDefault="00CC7734" w:rsidP="00CC7734">
      <w:pPr>
        <w:pStyle w:val="NoSpacing"/>
        <w:ind w:left="2160"/>
        <w:jc w:val="both"/>
        <w:rPr>
          <w:sz w:val="22"/>
        </w:rPr>
      </w:pPr>
    </w:p>
    <w:p w14:paraId="3C613A7F" w14:textId="6E20D081" w:rsidR="009A14ED" w:rsidRPr="009A14ED" w:rsidRDefault="009A14ED" w:rsidP="00CC7734">
      <w:pPr>
        <w:pStyle w:val="NoSpacing"/>
        <w:numPr>
          <w:ilvl w:val="0"/>
          <w:numId w:val="38"/>
        </w:numPr>
        <w:jc w:val="both"/>
        <w:rPr>
          <w:sz w:val="22"/>
        </w:rPr>
      </w:pPr>
      <w:r>
        <w:rPr>
          <w:sz w:val="22"/>
          <w:u w:val="single"/>
        </w:rPr>
        <w:t>Where</w:t>
      </w:r>
      <w:r>
        <w:rPr>
          <w:sz w:val="22"/>
        </w:rPr>
        <w:t>.  Cincinnati.</w:t>
      </w:r>
    </w:p>
    <w:p w14:paraId="3F981EE0" w14:textId="77777777" w:rsidR="002C249D" w:rsidRDefault="002C249D" w:rsidP="0064737B">
      <w:pPr>
        <w:pStyle w:val="NoSpacing"/>
        <w:jc w:val="both"/>
        <w:rPr>
          <w:sz w:val="22"/>
        </w:rPr>
      </w:pPr>
    </w:p>
    <w:p w14:paraId="0EDD279C" w14:textId="1C2A3E5E" w:rsidR="00C60D5C" w:rsidRDefault="004A502E" w:rsidP="0064737B">
      <w:pPr>
        <w:pStyle w:val="NoSpacing"/>
        <w:jc w:val="both"/>
        <w:rPr>
          <w:sz w:val="22"/>
        </w:rPr>
      </w:pPr>
      <w:r>
        <w:rPr>
          <w:sz w:val="22"/>
        </w:rPr>
        <w:t>C</w:t>
      </w:r>
      <w:r w:rsidR="00676AFC">
        <w:rPr>
          <w:sz w:val="22"/>
        </w:rPr>
        <w:t>.</w:t>
      </w:r>
      <w:r w:rsidR="005C187C">
        <w:rPr>
          <w:sz w:val="22"/>
        </w:rPr>
        <w:tab/>
      </w:r>
      <w:r w:rsidR="005C187C">
        <w:rPr>
          <w:sz w:val="22"/>
          <w:u w:val="single"/>
        </w:rPr>
        <w:t>Cross Border Marital Planning</w:t>
      </w:r>
      <w:r w:rsidR="005C187C">
        <w:rPr>
          <w:sz w:val="22"/>
        </w:rPr>
        <w:t xml:space="preserve">.  </w:t>
      </w:r>
      <w:r w:rsidR="0008195D">
        <w:rPr>
          <w:sz w:val="22"/>
        </w:rPr>
        <w:t xml:space="preserve">Estate planning for a cross-border couple, </w:t>
      </w:r>
      <w:r w:rsidR="0008195D">
        <w:rPr>
          <w:i/>
          <w:sz w:val="22"/>
        </w:rPr>
        <w:t>i.e.,</w:t>
      </w:r>
      <w:r w:rsidR="0008195D">
        <w:rPr>
          <w:sz w:val="22"/>
        </w:rPr>
        <w:t xml:space="preserve"> </w:t>
      </w:r>
      <w:r w:rsidR="00B53638">
        <w:rPr>
          <w:sz w:val="22"/>
        </w:rPr>
        <w:t xml:space="preserve">a </w:t>
      </w:r>
      <w:r w:rsidR="0008195D">
        <w:rPr>
          <w:sz w:val="22"/>
        </w:rPr>
        <w:t>U</w:t>
      </w:r>
      <w:r w:rsidR="00B53638">
        <w:rPr>
          <w:sz w:val="22"/>
        </w:rPr>
        <w:t>.</w:t>
      </w:r>
      <w:r w:rsidR="0008195D">
        <w:rPr>
          <w:sz w:val="22"/>
        </w:rPr>
        <w:t>S</w:t>
      </w:r>
      <w:r w:rsidR="00B53638">
        <w:rPr>
          <w:sz w:val="22"/>
        </w:rPr>
        <w:t>.</w:t>
      </w:r>
      <w:r w:rsidR="0008195D">
        <w:rPr>
          <w:sz w:val="22"/>
        </w:rPr>
        <w:t xml:space="preserve"> citizen married</w:t>
      </w:r>
      <w:r w:rsidR="00410EEC">
        <w:rPr>
          <w:sz w:val="22"/>
        </w:rPr>
        <w:t xml:space="preserve"> </w:t>
      </w:r>
      <w:r w:rsidR="0008195D">
        <w:rPr>
          <w:sz w:val="22"/>
        </w:rPr>
        <w:t xml:space="preserve">to </w:t>
      </w:r>
      <w:r w:rsidR="00410EEC">
        <w:rPr>
          <w:sz w:val="22"/>
        </w:rPr>
        <w:t xml:space="preserve">a </w:t>
      </w:r>
      <w:r w:rsidR="00272072">
        <w:rPr>
          <w:sz w:val="22"/>
        </w:rPr>
        <w:t>NRNC</w:t>
      </w:r>
      <w:r w:rsidR="0008195D">
        <w:rPr>
          <w:sz w:val="22"/>
        </w:rPr>
        <w:t>, poses complex challenges.</w:t>
      </w:r>
      <w:r w:rsidR="004D2C1A">
        <w:rPr>
          <w:sz w:val="22"/>
        </w:rPr>
        <w:t xml:space="preserve">  </w:t>
      </w:r>
    </w:p>
    <w:p w14:paraId="36B502A9" w14:textId="77777777" w:rsidR="00410EEC" w:rsidRDefault="00410EEC" w:rsidP="0064737B">
      <w:pPr>
        <w:pStyle w:val="NoSpacing"/>
        <w:jc w:val="both"/>
        <w:rPr>
          <w:sz w:val="22"/>
        </w:rPr>
      </w:pPr>
    </w:p>
    <w:p w14:paraId="5933D5D9" w14:textId="314F96A0" w:rsidR="00410EEC" w:rsidRDefault="00537522" w:rsidP="006A56B3">
      <w:pPr>
        <w:pStyle w:val="NoSpacing"/>
        <w:numPr>
          <w:ilvl w:val="0"/>
          <w:numId w:val="23"/>
        </w:numPr>
        <w:jc w:val="both"/>
        <w:rPr>
          <w:sz w:val="22"/>
        </w:rPr>
      </w:pPr>
      <w:r>
        <w:rPr>
          <w:i/>
          <w:sz w:val="22"/>
        </w:rPr>
        <w:t>No Marital Deduction</w:t>
      </w:r>
      <w:r>
        <w:rPr>
          <w:sz w:val="22"/>
        </w:rPr>
        <w:t xml:space="preserve">.  </w:t>
      </w:r>
      <w:r w:rsidRPr="000C7CD9">
        <w:rPr>
          <w:i/>
          <w:sz w:val="22"/>
        </w:rPr>
        <w:t xml:space="preserve">Inter vivos </w:t>
      </w:r>
      <w:r>
        <w:rPr>
          <w:sz w:val="22"/>
        </w:rPr>
        <w:t xml:space="preserve">transfers </w:t>
      </w:r>
      <w:r w:rsidR="00080C8A" w:rsidRPr="00080C8A">
        <w:rPr>
          <w:sz w:val="22"/>
          <w:u w:val="single"/>
        </w:rPr>
        <w:t>from US citizen</w:t>
      </w:r>
      <w:r w:rsidR="00080C8A">
        <w:rPr>
          <w:sz w:val="22"/>
        </w:rPr>
        <w:t xml:space="preserve"> </w:t>
      </w:r>
      <w:r>
        <w:rPr>
          <w:sz w:val="22"/>
        </w:rPr>
        <w:t>to non-citizen spouse are fully subject to gift tax (less annual exclusion) and transfers at death are fully subject to estate tax.</w:t>
      </w:r>
    </w:p>
    <w:p w14:paraId="55523BA2" w14:textId="77777777" w:rsidR="00080C8A" w:rsidRDefault="00080C8A" w:rsidP="00080C8A">
      <w:pPr>
        <w:pStyle w:val="NoSpacing"/>
        <w:ind w:left="720"/>
        <w:jc w:val="both"/>
        <w:rPr>
          <w:sz w:val="22"/>
        </w:rPr>
      </w:pPr>
    </w:p>
    <w:p w14:paraId="750DA2D5" w14:textId="196925A9" w:rsidR="004D2C1A" w:rsidRDefault="004D2C1A" w:rsidP="006A56B3">
      <w:pPr>
        <w:pStyle w:val="NoSpacing"/>
        <w:numPr>
          <w:ilvl w:val="0"/>
          <w:numId w:val="23"/>
        </w:numPr>
        <w:jc w:val="both"/>
        <w:rPr>
          <w:sz w:val="22"/>
        </w:rPr>
      </w:pPr>
      <w:r>
        <w:rPr>
          <w:i/>
          <w:sz w:val="22"/>
        </w:rPr>
        <w:lastRenderedPageBreak/>
        <w:t>Limited Exemptions</w:t>
      </w:r>
      <w:r>
        <w:rPr>
          <w:sz w:val="22"/>
        </w:rPr>
        <w:t xml:space="preserve">.  </w:t>
      </w:r>
      <w:r w:rsidR="00080C8A" w:rsidRPr="000C7CD9">
        <w:rPr>
          <w:i/>
          <w:sz w:val="22"/>
        </w:rPr>
        <w:t>Inter vivos</w:t>
      </w:r>
      <w:r w:rsidR="00080C8A">
        <w:rPr>
          <w:sz w:val="22"/>
        </w:rPr>
        <w:t xml:space="preserve"> transfers </w:t>
      </w:r>
      <w:r w:rsidR="00080C8A" w:rsidRPr="00080C8A">
        <w:rPr>
          <w:sz w:val="22"/>
          <w:u w:val="single"/>
        </w:rPr>
        <w:t>from non-citizen</w:t>
      </w:r>
      <w:r w:rsidR="003B17B6">
        <w:rPr>
          <w:sz w:val="22"/>
        </w:rPr>
        <w:t xml:space="preserve"> do not qualify for </w:t>
      </w:r>
      <w:r w:rsidR="00CC7734">
        <w:rPr>
          <w:sz w:val="22"/>
        </w:rPr>
        <w:t xml:space="preserve">the lifetime </w:t>
      </w:r>
      <w:r w:rsidR="003B17B6">
        <w:rPr>
          <w:sz w:val="22"/>
        </w:rPr>
        <w:t>exemption</w:t>
      </w:r>
      <w:r w:rsidR="00080C8A">
        <w:rPr>
          <w:sz w:val="22"/>
        </w:rPr>
        <w:t xml:space="preserve"> - </w:t>
      </w:r>
      <w:r w:rsidR="00CC7734">
        <w:rPr>
          <w:rFonts w:cs="Times New Roman"/>
          <w:sz w:val="22"/>
        </w:rPr>
        <w:t>§</w:t>
      </w:r>
      <w:r>
        <w:rPr>
          <w:sz w:val="22"/>
        </w:rPr>
        <w:t xml:space="preserve">2505(a) limits unified credit to </w:t>
      </w:r>
      <w:r w:rsidR="003B17B6">
        <w:rPr>
          <w:sz w:val="22"/>
        </w:rPr>
        <w:t>gifts to US citizens and residents).</w:t>
      </w:r>
      <w:r>
        <w:rPr>
          <w:sz w:val="22"/>
        </w:rPr>
        <w:t xml:space="preserve"> </w:t>
      </w:r>
      <w:r w:rsidR="003B17B6">
        <w:rPr>
          <w:sz w:val="22"/>
        </w:rPr>
        <w:t xml:space="preserve"> </w:t>
      </w:r>
      <w:r>
        <w:rPr>
          <w:sz w:val="22"/>
        </w:rPr>
        <w:t xml:space="preserve">Estate tax exemption is limited to </w:t>
      </w:r>
      <w:r w:rsidR="003B17B6">
        <w:rPr>
          <w:sz w:val="22"/>
        </w:rPr>
        <w:t xml:space="preserve">$60,000.  </w:t>
      </w:r>
      <w:r w:rsidR="00CC7734">
        <w:rPr>
          <w:rFonts w:cs="Times New Roman"/>
          <w:sz w:val="22"/>
        </w:rPr>
        <w:t>§</w:t>
      </w:r>
      <w:r w:rsidR="003B17B6">
        <w:rPr>
          <w:sz w:val="22"/>
        </w:rPr>
        <w:t>2102(b).</w:t>
      </w:r>
    </w:p>
    <w:p w14:paraId="6C9350FD" w14:textId="77777777" w:rsidR="00D02910" w:rsidRDefault="00D02910" w:rsidP="00D02910">
      <w:pPr>
        <w:pStyle w:val="NoSpacing"/>
        <w:jc w:val="both"/>
        <w:rPr>
          <w:sz w:val="22"/>
        </w:rPr>
      </w:pPr>
    </w:p>
    <w:p w14:paraId="7E85C2E9" w14:textId="1AFAA3DE" w:rsidR="00D02910" w:rsidRDefault="00D02910" w:rsidP="006A56B3">
      <w:pPr>
        <w:pStyle w:val="NoSpacing"/>
        <w:numPr>
          <w:ilvl w:val="0"/>
          <w:numId w:val="23"/>
        </w:numPr>
        <w:jc w:val="both"/>
        <w:rPr>
          <w:sz w:val="22"/>
        </w:rPr>
      </w:pPr>
      <w:r>
        <w:rPr>
          <w:i/>
          <w:sz w:val="22"/>
        </w:rPr>
        <w:t>Planning Opportunities</w:t>
      </w:r>
      <w:r>
        <w:rPr>
          <w:sz w:val="22"/>
        </w:rPr>
        <w:t xml:space="preserve">.  The </w:t>
      </w:r>
      <w:r w:rsidR="007D6F90">
        <w:rPr>
          <w:sz w:val="22"/>
        </w:rPr>
        <w:t xml:space="preserve">potential </w:t>
      </w:r>
      <w:r>
        <w:rPr>
          <w:sz w:val="22"/>
        </w:rPr>
        <w:t xml:space="preserve">exclusion </w:t>
      </w:r>
      <w:r w:rsidR="00F95A2D">
        <w:rPr>
          <w:sz w:val="22"/>
        </w:rPr>
        <w:t xml:space="preserve">of </w:t>
      </w:r>
      <w:r>
        <w:rPr>
          <w:sz w:val="22"/>
        </w:rPr>
        <w:t xml:space="preserve">the non-citizen spouse’s </w:t>
      </w:r>
      <w:r w:rsidR="00F95A2D">
        <w:rPr>
          <w:sz w:val="22"/>
        </w:rPr>
        <w:t xml:space="preserve">foreign </w:t>
      </w:r>
      <w:r>
        <w:rPr>
          <w:sz w:val="22"/>
        </w:rPr>
        <w:t>assets</w:t>
      </w:r>
      <w:r w:rsidR="00F95A2D">
        <w:rPr>
          <w:sz w:val="22"/>
        </w:rPr>
        <w:t xml:space="preserve"> from gift and estate taxation affords a valuable planning opportunity.</w:t>
      </w:r>
    </w:p>
    <w:p w14:paraId="7B2187A9" w14:textId="77777777" w:rsidR="00F95A2D" w:rsidRDefault="00F95A2D" w:rsidP="00F95A2D">
      <w:pPr>
        <w:pStyle w:val="NoSpacing"/>
        <w:jc w:val="both"/>
        <w:rPr>
          <w:sz w:val="22"/>
        </w:rPr>
      </w:pPr>
    </w:p>
    <w:p w14:paraId="388255C7" w14:textId="4C2EB2C5" w:rsidR="00F95A2D" w:rsidRDefault="00F95A2D" w:rsidP="006A56B3">
      <w:pPr>
        <w:pStyle w:val="NoSpacing"/>
        <w:numPr>
          <w:ilvl w:val="1"/>
          <w:numId w:val="23"/>
        </w:numPr>
        <w:jc w:val="both"/>
        <w:rPr>
          <w:sz w:val="22"/>
        </w:rPr>
      </w:pPr>
      <w:r>
        <w:rPr>
          <w:sz w:val="22"/>
          <w:u w:val="single"/>
        </w:rPr>
        <w:t>NRNC Trusts</w:t>
      </w:r>
      <w:r w:rsidRPr="00F95A2D">
        <w:rPr>
          <w:sz w:val="22"/>
        </w:rPr>
        <w:t>.</w:t>
      </w:r>
      <w:r>
        <w:rPr>
          <w:sz w:val="22"/>
        </w:rPr>
        <w:t xml:space="preserve">  The NRNC may convey foreign assets for the benefit of the U.S. spouse, their children, and other family members free of any U</w:t>
      </w:r>
      <w:r w:rsidR="00272072">
        <w:rPr>
          <w:sz w:val="22"/>
        </w:rPr>
        <w:t>.</w:t>
      </w:r>
      <w:r>
        <w:rPr>
          <w:sz w:val="22"/>
        </w:rPr>
        <w:t xml:space="preserve">S. gift tax, and forever allow these assets </w:t>
      </w:r>
      <w:r w:rsidR="00272072">
        <w:rPr>
          <w:sz w:val="22"/>
        </w:rPr>
        <w:t>to</w:t>
      </w:r>
      <w:r w:rsidR="00D22A48">
        <w:rPr>
          <w:sz w:val="22"/>
        </w:rPr>
        <w:t xml:space="preserve"> be</w:t>
      </w:r>
      <w:r w:rsidR="00272072">
        <w:rPr>
          <w:sz w:val="22"/>
        </w:rPr>
        <w:t xml:space="preserve"> outside</w:t>
      </w:r>
      <w:r>
        <w:rPr>
          <w:sz w:val="22"/>
        </w:rPr>
        <w:t xml:space="preserve"> the reach of the U.S. gift and estate tax regime</w:t>
      </w:r>
      <w:r w:rsidR="00272072">
        <w:rPr>
          <w:sz w:val="22"/>
        </w:rPr>
        <w:t xml:space="preserve">.  By contrast, </w:t>
      </w:r>
      <w:r w:rsidR="00CC7734">
        <w:rPr>
          <w:sz w:val="22"/>
        </w:rPr>
        <w:t xml:space="preserve">as a domiciliary </w:t>
      </w:r>
      <w:r w:rsidR="00272072">
        <w:rPr>
          <w:sz w:val="22"/>
        </w:rPr>
        <w:t xml:space="preserve">any assets (regardless of </w:t>
      </w:r>
      <w:r w:rsidR="00CC7734">
        <w:rPr>
          <w:sz w:val="22"/>
        </w:rPr>
        <w:t xml:space="preserve">situs or </w:t>
      </w:r>
      <w:r w:rsidR="00272072">
        <w:rPr>
          <w:sz w:val="22"/>
        </w:rPr>
        <w:t>status) will be subject to U.S. transfer taxes.</w:t>
      </w:r>
    </w:p>
    <w:p w14:paraId="436A2DE7" w14:textId="77777777" w:rsidR="00D22A48" w:rsidRDefault="00D22A48" w:rsidP="00D22A48">
      <w:pPr>
        <w:pStyle w:val="NoSpacing"/>
        <w:ind w:left="1440"/>
        <w:jc w:val="both"/>
        <w:rPr>
          <w:sz w:val="22"/>
        </w:rPr>
      </w:pPr>
    </w:p>
    <w:p w14:paraId="66BE03D1" w14:textId="50D5EC43" w:rsidR="00272072" w:rsidRDefault="00272072" w:rsidP="006A56B3">
      <w:pPr>
        <w:pStyle w:val="NoSpacing"/>
        <w:numPr>
          <w:ilvl w:val="0"/>
          <w:numId w:val="27"/>
        </w:numPr>
        <w:jc w:val="both"/>
        <w:rPr>
          <w:sz w:val="22"/>
        </w:rPr>
      </w:pPr>
      <w:r w:rsidRPr="007D6F90">
        <w:rPr>
          <w:i/>
          <w:sz w:val="22"/>
        </w:rPr>
        <w:t>Basic Principle</w:t>
      </w:r>
      <w:r w:rsidRPr="00272072">
        <w:rPr>
          <w:sz w:val="22"/>
        </w:rPr>
        <w:t>.</w:t>
      </w:r>
      <w:r>
        <w:rPr>
          <w:sz w:val="22"/>
        </w:rPr>
        <w:t xml:space="preserve">  </w:t>
      </w:r>
      <w:r w:rsidR="00D22A48">
        <w:rPr>
          <w:sz w:val="22"/>
        </w:rPr>
        <w:t>Strive to have</w:t>
      </w:r>
      <w:r>
        <w:rPr>
          <w:sz w:val="22"/>
        </w:rPr>
        <w:t xml:space="preserve"> U.S. situs assets owned or controlled by the U.S. citizen, and the foreign situs ass</w:t>
      </w:r>
      <w:r w:rsidR="00445F3F">
        <w:rPr>
          <w:sz w:val="22"/>
        </w:rPr>
        <w:t>ets should be owned by the NRNC.</w:t>
      </w:r>
    </w:p>
    <w:p w14:paraId="308BEA48" w14:textId="77777777" w:rsidR="00D22A48" w:rsidRDefault="00D22A48" w:rsidP="00D22A48">
      <w:pPr>
        <w:pStyle w:val="NoSpacing"/>
        <w:jc w:val="both"/>
        <w:rPr>
          <w:sz w:val="22"/>
        </w:rPr>
      </w:pPr>
    </w:p>
    <w:p w14:paraId="00670BEA" w14:textId="77777777" w:rsidR="00445F3F" w:rsidRDefault="00D22A48" w:rsidP="006A56B3">
      <w:pPr>
        <w:pStyle w:val="NoSpacing"/>
        <w:numPr>
          <w:ilvl w:val="0"/>
          <w:numId w:val="27"/>
        </w:numPr>
        <w:jc w:val="both"/>
        <w:rPr>
          <w:sz w:val="22"/>
        </w:rPr>
      </w:pPr>
      <w:r w:rsidRPr="00445F3F">
        <w:rPr>
          <w:i/>
          <w:sz w:val="22"/>
        </w:rPr>
        <w:t xml:space="preserve">Transfers </w:t>
      </w:r>
      <w:r w:rsidR="00181E66" w:rsidRPr="00445F3F">
        <w:rPr>
          <w:i/>
          <w:sz w:val="22"/>
        </w:rPr>
        <w:t xml:space="preserve">by NRNC </w:t>
      </w:r>
      <w:r w:rsidRPr="00445F3F">
        <w:rPr>
          <w:i/>
          <w:sz w:val="22"/>
        </w:rPr>
        <w:t>to U.S. Citizen</w:t>
      </w:r>
      <w:r>
        <w:rPr>
          <w:sz w:val="22"/>
        </w:rPr>
        <w:t>.</w:t>
      </w:r>
    </w:p>
    <w:p w14:paraId="2AEBC57B" w14:textId="77777777" w:rsidR="00445F3F" w:rsidRDefault="00445F3F" w:rsidP="00445F3F">
      <w:pPr>
        <w:pStyle w:val="NoSpacing"/>
        <w:jc w:val="both"/>
        <w:rPr>
          <w:sz w:val="22"/>
        </w:rPr>
      </w:pPr>
    </w:p>
    <w:p w14:paraId="71E31AE6" w14:textId="295A5932" w:rsidR="00D22A48" w:rsidRDefault="00445F3F" w:rsidP="006A56B3">
      <w:pPr>
        <w:pStyle w:val="NoSpacing"/>
        <w:numPr>
          <w:ilvl w:val="1"/>
          <w:numId w:val="27"/>
        </w:numPr>
        <w:jc w:val="both"/>
        <w:rPr>
          <w:sz w:val="22"/>
        </w:rPr>
      </w:pPr>
      <w:r w:rsidRPr="00C05A56">
        <w:rPr>
          <w:sz w:val="22"/>
          <w:u w:val="single"/>
        </w:rPr>
        <w:t>Marital Deduction</w:t>
      </w:r>
      <w:r>
        <w:rPr>
          <w:i/>
          <w:sz w:val="22"/>
        </w:rPr>
        <w:t xml:space="preserve">.  </w:t>
      </w:r>
      <w:r w:rsidR="00D22A48">
        <w:rPr>
          <w:sz w:val="22"/>
        </w:rPr>
        <w:t xml:space="preserve">Any U.S. situs assets owned by </w:t>
      </w:r>
      <w:r w:rsidR="0041026F">
        <w:rPr>
          <w:sz w:val="22"/>
        </w:rPr>
        <w:t xml:space="preserve">the NRNC should be transferred either directly to the </w:t>
      </w:r>
      <w:r w:rsidR="00676AFC">
        <w:rPr>
          <w:sz w:val="22"/>
        </w:rPr>
        <w:t xml:space="preserve">U.S. </w:t>
      </w:r>
      <w:r w:rsidR="0041026F">
        <w:rPr>
          <w:sz w:val="22"/>
        </w:rPr>
        <w:t>spouse or an irrevocable</w:t>
      </w:r>
      <w:r w:rsidR="00676AFC">
        <w:rPr>
          <w:sz w:val="22"/>
        </w:rPr>
        <w:t xml:space="preserve"> trust for the spouse’s benefit.</w:t>
      </w:r>
      <w:r w:rsidR="0097249A">
        <w:rPr>
          <w:sz w:val="22"/>
        </w:rPr>
        <w:t xml:space="preserve">  The lifetime transfer to the U.S. citizen qualifies for the marital deduction.</w:t>
      </w:r>
      <w:r w:rsidR="007D6F90">
        <w:rPr>
          <w:sz w:val="22"/>
        </w:rPr>
        <w:t xml:space="preserve">  Therefore, the Aspen condo should be the subject of a gift from the NNRC to the U.S. spouse.</w:t>
      </w:r>
    </w:p>
    <w:p w14:paraId="3BF4E756" w14:textId="77777777" w:rsidR="0097249A" w:rsidRDefault="0097249A" w:rsidP="0097249A">
      <w:pPr>
        <w:pStyle w:val="NoSpacing"/>
        <w:jc w:val="both"/>
        <w:rPr>
          <w:sz w:val="22"/>
        </w:rPr>
      </w:pPr>
    </w:p>
    <w:p w14:paraId="05C17256" w14:textId="106343CB" w:rsidR="00EE0737" w:rsidRDefault="0097249A" w:rsidP="006A56B3">
      <w:pPr>
        <w:pStyle w:val="NoSpacing"/>
        <w:numPr>
          <w:ilvl w:val="1"/>
          <w:numId w:val="23"/>
        </w:numPr>
        <w:jc w:val="both"/>
        <w:rPr>
          <w:sz w:val="22"/>
        </w:rPr>
      </w:pPr>
      <w:r w:rsidRPr="00C05A56">
        <w:rPr>
          <w:sz w:val="22"/>
          <w:u w:val="single"/>
        </w:rPr>
        <w:t>Transfers of Intangibles</w:t>
      </w:r>
      <w:r>
        <w:rPr>
          <w:sz w:val="22"/>
        </w:rPr>
        <w:t xml:space="preserve">.  </w:t>
      </w:r>
      <w:r w:rsidR="00EE0737">
        <w:rPr>
          <w:sz w:val="22"/>
        </w:rPr>
        <w:t>In addition to asset transfers</w:t>
      </w:r>
      <w:r w:rsidR="007D6F90">
        <w:rPr>
          <w:sz w:val="22"/>
        </w:rPr>
        <w:t xml:space="preserve"> that</w:t>
      </w:r>
      <w:r w:rsidR="00EE0737">
        <w:rPr>
          <w:sz w:val="22"/>
        </w:rPr>
        <w:t xml:space="preserve"> qualify for the marital deduction, t</w:t>
      </w:r>
      <w:r>
        <w:rPr>
          <w:sz w:val="22"/>
        </w:rPr>
        <w:t>he N</w:t>
      </w:r>
      <w:r w:rsidR="00EB115E">
        <w:rPr>
          <w:sz w:val="22"/>
        </w:rPr>
        <w:t>RNC should make gifts of U.S. intangible assets to the U.S. spouse (or children)</w:t>
      </w:r>
      <w:r w:rsidR="00EE0737">
        <w:rPr>
          <w:sz w:val="22"/>
        </w:rPr>
        <w:t xml:space="preserve">.  </w:t>
      </w:r>
      <w:r w:rsidR="00EB115E">
        <w:rPr>
          <w:sz w:val="22"/>
        </w:rPr>
        <w:t>Such asse</w:t>
      </w:r>
      <w:r w:rsidR="00F80A82">
        <w:rPr>
          <w:sz w:val="22"/>
        </w:rPr>
        <w:t xml:space="preserve">ts are </w:t>
      </w:r>
      <w:r w:rsidR="00EE0737">
        <w:rPr>
          <w:sz w:val="22"/>
        </w:rPr>
        <w:t xml:space="preserve">exempt from </w:t>
      </w:r>
      <w:r w:rsidR="00F80A82">
        <w:rPr>
          <w:sz w:val="22"/>
        </w:rPr>
        <w:t>gift tax.  R</w:t>
      </w:r>
      <w:r w:rsidR="00EB115E">
        <w:rPr>
          <w:sz w:val="22"/>
        </w:rPr>
        <w:t xml:space="preserve">etention of </w:t>
      </w:r>
      <w:r w:rsidR="00EE0737">
        <w:rPr>
          <w:sz w:val="22"/>
        </w:rPr>
        <w:t xml:space="preserve">these assets will </w:t>
      </w:r>
      <w:r w:rsidR="007D6F90">
        <w:rPr>
          <w:sz w:val="22"/>
        </w:rPr>
        <w:t xml:space="preserve">subject </w:t>
      </w:r>
      <w:r w:rsidR="00676AFC">
        <w:rPr>
          <w:sz w:val="22"/>
        </w:rPr>
        <w:t xml:space="preserve">them </w:t>
      </w:r>
      <w:r w:rsidR="007D6F90">
        <w:rPr>
          <w:sz w:val="22"/>
        </w:rPr>
        <w:t>to estate tax.</w:t>
      </w:r>
    </w:p>
    <w:p w14:paraId="02E474D8" w14:textId="77777777" w:rsidR="007D6F90" w:rsidRDefault="007D6F90" w:rsidP="007D6F90">
      <w:pPr>
        <w:pStyle w:val="NoSpacing"/>
        <w:jc w:val="both"/>
        <w:rPr>
          <w:sz w:val="22"/>
        </w:rPr>
      </w:pPr>
    </w:p>
    <w:p w14:paraId="069CF273" w14:textId="041F161D" w:rsidR="007D6F90" w:rsidRPr="007D6F90" w:rsidRDefault="007D6F90" w:rsidP="006A56B3">
      <w:pPr>
        <w:pStyle w:val="NoSpacing"/>
        <w:numPr>
          <w:ilvl w:val="2"/>
          <w:numId w:val="23"/>
        </w:numPr>
        <w:jc w:val="both"/>
        <w:rPr>
          <w:sz w:val="22"/>
        </w:rPr>
      </w:pPr>
      <w:r>
        <w:rPr>
          <w:sz w:val="22"/>
        </w:rPr>
        <w:t>Therefore</w:t>
      </w:r>
      <w:r w:rsidR="007201FB">
        <w:rPr>
          <w:sz w:val="22"/>
        </w:rPr>
        <w:t xml:space="preserve">, assets such as shares of U.S.-organized corporations and non-portfolio debt obligations of U.S. persons may be transferred to an </w:t>
      </w:r>
      <w:r w:rsidR="00181E66">
        <w:rPr>
          <w:sz w:val="22"/>
        </w:rPr>
        <w:t>irrevocable trust</w:t>
      </w:r>
      <w:r w:rsidR="007201FB">
        <w:rPr>
          <w:sz w:val="22"/>
        </w:rPr>
        <w:t xml:space="preserve"> for the benefit of the U.S. spouse without reliance on the marital deduction and </w:t>
      </w:r>
      <w:r w:rsidR="00676AFC">
        <w:rPr>
          <w:sz w:val="22"/>
        </w:rPr>
        <w:t>still</w:t>
      </w:r>
      <w:r w:rsidR="007201FB">
        <w:rPr>
          <w:sz w:val="22"/>
        </w:rPr>
        <w:t xml:space="preserve"> no</w:t>
      </w:r>
      <w:r w:rsidR="00676AFC">
        <w:rPr>
          <w:sz w:val="22"/>
        </w:rPr>
        <w:t>t</w:t>
      </w:r>
      <w:r w:rsidR="007201FB">
        <w:rPr>
          <w:sz w:val="22"/>
        </w:rPr>
        <w:t xml:space="preserve"> be subject to gift tax.  In effect, this trust is in all respects </w:t>
      </w:r>
      <w:r w:rsidR="00181E66">
        <w:rPr>
          <w:sz w:val="22"/>
        </w:rPr>
        <w:t xml:space="preserve">akin </w:t>
      </w:r>
      <w:r w:rsidR="007201FB">
        <w:rPr>
          <w:sz w:val="22"/>
        </w:rPr>
        <w:t>to a credit shelter or bypass trust utilized in an estate tax plan.</w:t>
      </w:r>
      <w:r w:rsidR="00181E66">
        <w:rPr>
          <w:sz w:val="22"/>
        </w:rPr>
        <w:t xml:space="preserve">  </w:t>
      </w:r>
    </w:p>
    <w:p w14:paraId="576C1CC6" w14:textId="77777777" w:rsidR="0041026F" w:rsidRDefault="0041026F" w:rsidP="0041026F">
      <w:pPr>
        <w:pStyle w:val="NoSpacing"/>
        <w:jc w:val="both"/>
        <w:rPr>
          <w:sz w:val="22"/>
        </w:rPr>
      </w:pPr>
    </w:p>
    <w:p w14:paraId="7EDBF5A8" w14:textId="56A307AC" w:rsidR="0041026F" w:rsidRDefault="00445F3F" w:rsidP="006A56B3">
      <w:pPr>
        <w:pStyle w:val="NoSpacing"/>
        <w:numPr>
          <w:ilvl w:val="0"/>
          <w:numId w:val="27"/>
        </w:numPr>
        <w:jc w:val="both"/>
        <w:rPr>
          <w:sz w:val="22"/>
        </w:rPr>
      </w:pPr>
      <w:r>
        <w:rPr>
          <w:i/>
          <w:sz w:val="22"/>
        </w:rPr>
        <w:t>Transfers by U.S. Citizen to NRNC.</w:t>
      </w:r>
      <w:r>
        <w:rPr>
          <w:sz w:val="22"/>
        </w:rPr>
        <w:t xml:space="preserve">  Lesser opportunity for avoidance of transfer taxes.</w:t>
      </w:r>
    </w:p>
    <w:p w14:paraId="5367F807" w14:textId="77777777" w:rsidR="00445F3F" w:rsidRDefault="00445F3F" w:rsidP="00445F3F">
      <w:pPr>
        <w:pStyle w:val="NoSpacing"/>
        <w:ind w:left="720"/>
        <w:jc w:val="both"/>
        <w:rPr>
          <w:sz w:val="22"/>
        </w:rPr>
      </w:pPr>
    </w:p>
    <w:p w14:paraId="0558A4AE" w14:textId="4543E3B0" w:rsidR="0008195D" w:rsidRPr="00C05A56" w:rsidRDefault="00105A28" w:rsidP="006A56B3">
      <w:pPr>
        <w:pStyle w:val="NoSpacing"/>
        <w:numPr>
          <w:ilvl w:val="1"/>
          <w:numId w:val="27"/>
        </w:numPr>
        <w:jc w:val="both"/>
        <w:rPr>
          <w:sz w:val="22"/>
        </w:rPr>
      </w:pPr>
      <w:r w:rsidRPr="00C05A56">
        <w:rPr>
          <w:sz w:val="22"/>
          <w:u w:val="single"/>
        </w:rPr>
        <w:t>Marital Deduction</w:t>
      </w:r>
      <w:r w:rsidR="00676AFC">
        <w:rPr>
          <w:sz w:val="22"/>
        </w:rPr>
        <w:t xml:space="preserve">.  Unavailable!  Cannot even use a QDOT.  </w:t>
      </w:r>
      <w:r>
        <w:rPr>
          <w:sz w:val="22"/>
        </w:rPr>
        <w:t>However, increased annual exclusion of $148,000 is available f</w:t>
      </w:r>
      <w:r w:rsidR="00C05A56">
        <w:rPr>
          <w:sz w:val="22"/>
        </w:rPr>
        <w:t xml:space="preserve">or </w:t>
      </w:r>
      <w:r w:rsidR="00C05A56" w:rsidRPr="000C7CD9">
        <w:rPr>
          <w:i/>
          <w:sz w:val="22"/>
        </w:rPr>
        <w:t>inter vivos</w:t>
      </w:r>
      <w:r w:rsidR="00C05A56">
        <w:rPr>
          <w:sz w:val="22"/>
        </w:rPr>
        <w:t xml:space="preserve"> transfers.</w:t>
      </w:r>
    </w:p>
    <w:p w14:paraId="44DC5047" w14:textId="77777777" w:rsidR="00B53638" w:rsidRPr="0008195D" w:rsidRDefault="00B53638" w:rsidP="0064737B">
      <w:pPr>
        <w:pStyle w:val="NoSpacing"/>
        <w:jc w:val="both"/>
        <w:rPr>
          <w:sz w:val="22"/>
        </w:rPr>
      </w:pPr>
    </w:p>
    <w:p w14:paraId="57E3C912" w14:textId="5BDA9266" w:rsidR="0064737B" w:rsidRDefault="0064737B" w:rsidP="0064737B">
      <w:pPr>
        <w:pStyle w:val="NoSpacing"/>
        <w:jc w:val="both"/>
        <w:rPr>
          <w:sz w:val="22"/>
        </w:rPr>
      </w:pPr>
      <w:r>
        <w:rPr>
          <w:sz w:val="22"/>
        </w:rPr>
        <w:t>V</w:t>
      </w:r>
      <w:r w:rsidR="00676AFC">
        <w:rPr>
          <w:sz w:val="22"/>
        </w:rPr>
        <w:t>I</w:t>
      </w:r>
      <w:r>
        <w:rPr>
          <w:sz w:val="22"/>
        </w:rPr>
        <w:t>. GST TAX</w:t>
      </w:r>
    </w:p>
    <w:p w14:paraId="58A5A96E" w14:textId="77777777" w:rsidR="0064737B" w:rsidRDefault="0064737B" w:rsidP="0064737B">
      <w:pPr>
        <w:pStyle w:val="NoSpacing"/>
        <w:jc w:val="both"/>
        <w:rPr>
          <w:sz w:val="22"/>
        </w:rPr>
      </w:pPr>
    </w:p>
    <w:p w14:paraId="6661BE65" w14:textId="77777777" w:rsidR="008F65E1" w:rsidRDefault="004838CD" w:rsidP="008F65E1">
      <w:pPr>
        <w:pStyle w:val="NoSpacing"/>
        <w:jc w:val="both"/>
        <w:rPr>
          <w:sz w:val="22"/>
        </w:rPr>
      </w:pPr>
      <w:r>
        <w:rPr>
          <w:sz w:val="22"/>
        </w:rPr>
        <w:t>A.</w:t>
      </w:r>
      <w:r>
        <w:rPr>
          <w:sz w:val="22"/>
        </w:rPr>
        <w:tab/>
      </w:r>
      <w:r w:rsidR="0064737B">
        <w:rPr>
          <w:sz w:val="22"/>
          <w:u w:val="single"/>
        </w:rPr>
        <w:t>Application to NRNCs</w:t>
      </w:r>
      <w:r w:rsidR="0064737B">
        <w:rPr>
          <w:sz w:val="22"/>
        </w:rPr>
        <w:t xml:space="preserve">.  A transfer is subject to GST only if a gift or estate tax is applicable to the transfer.  Therefore, </w:t>
      </w:r>
      <w:r w:rsidR="00CC276A">
        <w:rPr>
          <w:sz w:val="22"/>
        </w:rPr>
        <w:t>only transfers of U.S. situs properties are subjected to GST.</w:t>
      </w:r>
    </w:p>
    <w:p w14:paraId="4ED215F0" w14:textId="77777777" w:rsidR="004F6E33" w:rsidRDefault="004F6E33" w:rsidP="008F65E1">
      <w:pPr>
        <w:pStyle w:val="NoSpacing"/>
        <w:jc w:val="both"/>
        <w:rPr>
          <w:sz w:val="22"/>
        </w:rPr>
      </w:pPr>
    </w:p>
    <w:p w14:paraId="6CA06B95" w14:textId="5882A8FC" w:rsidR="004F6E33" w:rsidRDefault="004838CD" w:rsidP="008F65E1">
      <w:pPr>
        <w:pStyle w:val="NoSpacing"/>
        <w:jc w:val="both"/>
        <w:rPr>
          <w:i/>
          <w:sz w:val="22"/>
        </w:rPr>
      </w:pPr>
      <w:r>
        <w:rPr>
          <w:sz w:val="22"/>
        </w:rPr>
        <w:t>B.</w:t>
      </w:r>
      <w:r>
        <w:rPr>
          <w:sz w:val="22"/>
        </w:rPr>
        <w:tab/>
      </w:r>
      <w:r w:rsidR="004F6E33">
        <w:rPr>
          <w:sz w:val="22"/>
          <w:u w:val="single"/>
        </w:rPr>
        <w:t>Trust Distributions or Terminations</w:t>
      </w:r>
      <w:r w:rsidR="004F6E33">
        <w:rPr>
          <w:sz w:val="22"/>
        </w:rPr>
        <w:t xml:space="preserve">.   Situs of asset at time of initial transfer to the trust determines application of tax.  </w:t>
      </w:r>
      <w:r w:rsidR="004F6E33">
        <w:rPr>
          <w:i/>
          <w:sz w:val="22"/>
        </w:rPr>
        <w:t xml:space="preserve">See, Regs. </w:t>
      </w:r>
      <w:r w:rsidR="004F6E33">
        <w:rPr>
          <w:rFonts w:cs="Times New Roman"/>
          <w:i/>
          <w:sz w:val="22"/>
        </w:rPr>
        <w:t>§</w:t>
      </w:r>
      <w:r w:rsidR="004F6E33">
        <w:rPr>
          <w:i/>
          <w:sz w:val="22"/>
        </w:rPr>
        <w:t>26.2663-2(b)(2).</w:t>
      </w:r>
    </w:p>
    <w:p w14:paraId="34287B12" w14:textId="77777777" w:rsidR="00C83D35" w:rsidRDefault="00C83D35" w:rsidP="008F65E1">
      <w:pPr>
        <w:pStyle w:val="NoSpacing"/>
        <w:jc w:val="both"/>
        <w:rPr>
          <w:i/>
          <w:sz w:val="22"/>
        </w:rPr>
      </w:pPr>
    </w:p>
    <w:p w14:paraId="10062E7E" w14:textId="77777777" w:rsidR="00C83D35" w:rsidRDefault="00C83D35" w:rsidP="008F65E1">
      <w:pPr>
        <w:pStyle w:val="NoSpacing"/>
        <w:jc w:val="both"/>
        <w:rPr>
          <w:i/>
          <w:sz w:val="22"/>
        </w:rPr>
      </w:pPr>
    </w:p>
    <w:p w14:paraId="58326027" w14:textId="77777777" w:rsidR="00C83D35" w:rsidRDefault="00C83D35" w:rsidP="008F65E1">
      <w:pPr>
        <w:pStyle w:val="NoSpacing"/>
        <w:jc w:val="both"/>
        <w:rPr>
          <w:i/>
          <w:sz w:val="22"/>
        </w:rPr>
      </w:pPr>
    </w:p>
    <w:p w14:paraId="1F9FA3D8" w14:textId="77777777" w:rsidR="00C83D35" w:rsidRPr="004F6E33" w:rsidRDefault="00C83D35" w:rsidP="008F65E1">
      <w:pPr>
        <w:pStyle w:val="NoSpacing"/>
        <w:jc w:val="both"/>
        <w:rPr>
          <w:i/>
          <w:sz w:val="22"/>
        </w:rPr>
      </w:pPr>
    </w:p>
    <w:p w14:paraId="614C1356" w14:textId="77777777" w:rsidR="008F65E1" w:rsidRPr="008F65E1" w:rsidRDefault="008F65E1" w:rsidP="008F65E1">
      <w:pPr>
        <w:pStyle w:val="NoSpacing"/>
        <w:jc w:val="both"/>
        <w:rPr>
          <w:sz w:val="22"/>
        </w:rPr>
      </w:pPr>
    </w:p>
    <w:p w14:paraId="0286FC4E" w14:textId="6B2F33C9" w:rsidR="00E50B8C" w:rsidRDefault="00E50B8C" w:rsidP="0092708C">
      <w:pPr>
        <w:pStyle w:val="NoSpacing"/>
        <w:jc w:val="both"/>
        <w:rPr>
          <w:sz w:val="22"/>
        </w:rPr>
      </w:pPr>
      <w:r>
        <w:rPr>
          <w:sz w:val="22"/>
        </w:rPr>
        <w:lastRenderedPageBreak/>
        <w:t>V</w:t>
      </w:r>
      <w:r w:rsidR="0064737B">
        <w:rPr>
          <w:sz w:val="22"/>
        </w:rPr>
        <w:t>I</w:t>
      </w:r>
      <w:r w:rsidR="00676AFC">
        <w:rPr>
          <w:sz w:val="22"/>
        </w:rPr>
        <w:t>I</w:t>
      </w:r>
      <w:r>
        <w:rPr>
          <w:sz w:val="22"/>
        </w:rPr>
        <w:t xml:space="preserve">.  </w:t>
      </w:r>
      <w:r w:rsidR="00DF18C9">
        <w:rPr>
          <w:sz w:val="22"/>
        </w:rPr>
        <w:t xml:space="preserve">MISCELLANEOUS </w:t>
      </w:r>
      <w:r w:rsidR="00E33BDF">
        <w:rPr>
          <w:sz w:val="22"/>
        </w:rPr>
        <w:t>FILING REQUIREMENTS</w:t>
      </w:r>
    </w:p>
    <w:p w14:paraId="2FC3575C" w14:textId="77777777" w:rsidR="00361E2E" w:rsidRDefault="00361E2E" w:rsidP="0092708C">
      <w:pPr>
        <w:pStyle w:val="NoSpacing"/>
        <w:jc w:val="both"/>
        <w:rPr>
          <w:sz w:val="22"/>
        </w:rPr>
      </w:pPr>
    </w:p>
    <w:p w14:paraId="0D4319EB" w14:textId="3C96CDD9" w:rsidR="00DA06D0" w:rsidRDefault="001E462A" w:rsidP="001E462A">
      <w:pPr>
        <w:pStyle w:val="NoSpacing"/>
        <w:jc w:val="both"/>
        <w:rPr>
          <w:sz w:val="22"/>
        </w:rPr>
      </w:pPr>
      <w:r w:rsidRPr="001E462A">
        <w:rPr>
          <w:sz w:val="22"/>
        </w:rPr>
        <w:t>A.</w:t>
      </w:r>
      <w:r w:rsidRPr="001E462A">
        <w:rPr>
          <w:sz w:val="22"/>
        </w:rPr>
        <w:tab/>
      </w:r>
      <w:r w:rsidR="00361E2E">
        <w:rPr>
          <w:sz w:val="22"/>
          <w:u w:val="single"/>
        </w:rPr>
        <w:t>General Principle</w:t>
      </w:r>
      <w:r w:rsidR="00361E2E">
        <w:rPr>
          <w:sz w:val="22"/>
        </w:rPr>
        <w:t xml:space="preserve">.  US taxpayers are annually required to report interests </w:t>
      </w:r>
      <w:r w:rsidR="00CD58D3">
        <w:rPr>
          <w:sz w:val="22"/>
        </w:rPr>
        <w:t>in foreign assets and financial transactions with foreign persons.  Failure to do so can r</w:t>
      </w:r>
      <w:r w:rsidR="00676AFC">
        <w:rPr>
          <w:sz w:val="22"/>
        </w:rPr>
        <w:t xml:space="preserve">esult in impositions of confiscatory civil </w:t>
      </w:r>
      <w:r w:rsidR="00180394">
        <w:rPr>
          <w:sz w:val="22"/>
          <w:u w:val="single"/>
        </w:rPr>
        <w:t>penalties</w:t>
      </w:r>
      <w:r w:rsidR="00676AFC">
        <w:rPr>
          <w:sz w:val="22"/>
        </w:rPr>
        <w:t xml:space="preserve"> and potential criminal charges.</w:t>
      </w:r>
    </w:p>
    <w:p w14:paraId="0C106C4A" w14:textId="77777777" w:rsidR="001E462A" w:rsidRPr="001E462A" w:rsidRDefault="001E462A" w:rsidP="001E462A">
      <w:pPr>
        <w:pStyle w:val="NoSpacing"/>
        <w:jc w:val="both"/>
        <w:rPr>
          <w:sz w:val="22"/>
        </w:rPr>
      </w:pPr>
    </w:p>
    <w:p w14:paraId="6246108E" w14:textId="5CA2CC75" w:rsidR="00DA06D0" w:rsidRPr="00DA06D0" w:rsidRDefault="001E462A" w:rsidP="001E462A">
      <w:pPr>
        <w:pStyle w:val="NoSpacing"/>
        <w:jc w:val="both"/>
        <w:rPr>
          <w:sz w:val="22"/>
        </w:rPr>
      </w:pPr>
      <w:r>
        <w:rPr>
          <w:sz w:val="22"/>
        </w:rPr>
        <w:t>B.</w:t>
      </w:r>
      <w:r>
        <w:rPr>
          <w:sz w:val="22"/>
        </w:rPr>
        <w:tab/>
      </w:r>
      <w:r w:rsidR="00CD58D3">
        <w:rPr>
          <w:sz w:val="22"/>
        </w:rPr>
        <w:t xml:space="preserve"> </w:t>
      </w:r>
      <w:r w:rsidR="00DA06D0">
        <w:rPr>
          <w:sz w:val="22"/>
          <w:u w:val="single"/>
        </w:rPr>
        <w:t>Foreign Bank Account Reports</w:t>
      </w:r>
      <w:r w:rsidR="00473028">
        <w:rPr>
          <w:sz w:val="22"/>
          <w:u w:val="single"/>
        </w:rPr>
        <w:t xml:space="preserve"> (FBAR)</w:t>
      </w:r>
      <w:r w:rsidR="00361E2E">
        <w:rPr>
          <w:sz w:val="22"/>
        </w:rPr>
        <w:t xml:space="preserve">.  Annual report required of “US person” who has “financial interest” in or signature authority over </w:t>
      </w:r>
      <w:r w:rsidR="00CD58D3">
        <w:rPr>
          <w:sz w:val="22"/>
        </w:rPr>
        <w:t xml:space="preserve">foreign </w:t>
      </w:r>
      <w:r w:rsidR="00361E2E">
        <w:rPr>
          <w:sz w:val="22"/>
        </w:rPr>
        <w:t xml:space="preserve">“financial </w:t>
      </w:r>
      <w:r w:rsidR="000C7CD9">
        <w:rPr>
          <w:sz w:val="22"/>
        </w:rPr>
        <w:t>account”</w:t>
      </w:r>
      <w:r w:rsidR="00361E2E">
        <w:rPr>
          <w:sz w:val="22"/>
        </w:rPr>
        <w:t xml:space="preserve"> </w:t>
      </w:r>
      <w:r w:rsidR="00361E2E">
        <w:rPr>
          <w:sz w:val="22"/>
          <w:u w:val="single"/>
        </w:rPr>
        <w:t>and</w:t>
      </w:r>
      <w:r w:rsidR="00361E2E">
        <w:rPr>
          <w:sz w:val="22"/>
        </w:rPr>
        <w:t xml:space="preserve"> aggrega</w:t>
      </w:r>
      <w:r w:rsidR="000C7CD9">
        <w:rPr>
          <w:sz w:val="22"/>
        </w:rPr>
        <w:t>te value greater than $10,000 at any time during a given calendar year.</w:t>
      </w:r>
      <w:r w:rsidR="00361E2E">
        <w:rPr>
          <w:sz w:val="22"/>
        </w:rPr>
        <w:t xml:space="preserve"> </w:t>
      </w:r>
    </w:p>
    <w:p w14:paraId="5C873B4A" w14:textId="77777777" w:rsidR="00DA06D0" w:rsidRDefault="00DA06D0" w:rsidP="00DA06D0">
      <w:pPr>
        <w:pStyle w:val="NoSpacing"/>
        <w:jc w:val="both"/>
        <w:rPr>
          <w:sz w:val="22"/>
          <w:u w:val="single"/>
        </w:rPr>
      </w:pPr>
    </w:p>
    <w:p w14:paraId="4AFA6AA0" w14:textId="527E5307" w:rsidR="00DA06D0" w:rsidRDefault="00E7550A" w:rsidP="006A56B3">
      <w:pPr>
        <w:pStyle w:val="NoSpacing"/>
        <w:numPr>
          <w:ilvl w:val="0"/>
          <w:numId w:val="14"/>
        </w:numPr>
        <w:ind w:left="1080"/>
        <w:jc w:val="both"/>
        <w:rPr>
          <w:sz w:val="22"/>
        </w:rPr>
      </w:pPr>
      <w:r>
        <w:rPr>
          <w:i/>
          <w:sz w:val="22"/>
        </w:rPr>
        <w:t xml:space="preserve"> </w:t>
      </w:r>
      <w:r w:rsidR="00DA06D0">
        <w:rPr>
          <w:i/>
          <w:sz w:val="22"/>
        </w:rPr>
        <w:t>“Foreign Financial Account”:</w:t>
      </w:r>
      <w:r w:rsidR="00DA06D0">
        <w:rPr>
          <w:sz w:val="22"/>
        </w:rPr>
        <w:t xml:space="preserve">  </w:t>
      </w:r>
      <w:r w:rsidR="00CD58D3">
        <w:rPr>
          <w:sz w:val="22"/>
        </w:rPr>
        <w:t>any account located outside US.</w:t>
      </w:r>
    </w:p>
    <w:p w14:paraId="24F39842" w14:textId="77777777" w:rsidR="00DA06D0" w:rsidRDefault="00DA06D0" w:rsidP="00DA06D0">
      <w:pPr>
        <w:pStyle w:val="NoSpacing"/>
        <w:ind w:left="1440"/>
        <w:jc w:val="both"/>
        <w:rPr>
          <w:sz w:val="22"/>
        </w:rPr>
      </w:pPr>
    </w:p>
    <w:p w14:paraId="5CC1A00E" w14:textId="14C1DCB1" w:rsidR="00DA06D0" w:rsidRDefault="00DA06D0" w:rsidP="006A56B3">
      <w:pPr>
        <w:pStyle w:val="NoSpacing"/>
        <w:numPr>
          <w:ilvl w:val="0"/>
          <w:numId w:val="14"/>
        </w:numPr>
        <w:ind w:left="1080"/>
        <w:jc w:val="both"/>
        <w:rPr>
          <w:sz w:val="22"/>
        </w:rPr>
      </w:pPr>
      <w:r>
        <w:rPr>
          <w:i/>
          <w:sz w:val="22"/>
        </w:rPr>
        <w:t>“United States Person”:</w:t>
      </w:r>
      <w:r>
        <w:rPr>
          <w:sz w:val="22"/>
        </w:rPr>
        <w:t xml:space="preserve">  </w:t>
      </w:r>
      <w:r w:rsidR="00970F31">
        <w:rPr>
          <w:sz w:val="22"/>
        </w:rPr>
        <w:t xml:space="preserve">US </w:t>
      </w:r>
      <w:r>
        <w:rPr>
          <w:sz w:val="22"/>
        </w:rPr>
        <w:t>citizen;</w:t>
      </w:r>
      <w:r w:rsidR="00473028">
        <w:rPr>
          <w:sz w:val="22"/>
        </w:rPr>
        <w:t xml:space="preserve"> US</w:t>
      </w:r>
      <w:r w:rsidR="00970F31">
        <w:rPr>
          <w:sz w:val="22"/>
        </w:rPr>
        <w:t xml:space="preserve"> tax</w:t>
      </w:r>
      <w:r>
        <w:rPr>
          <w:sz w:val="22"/>
        </w:rPr>
        <w:t xml:space="preserve"> resident; </w:t>
      </w:r>
      <w:r w:rsidR="00473028">
        <w:rPr>
          <w:sz w:val="22"/>
        </w:rPr>
        <w:t>US entity: trusts or estates formed under US laws.</w:t>
      </w:r>
      <w:r w:rsidR="000C7CD9">
        <w:rPr>
          <w:sz w:val="22"/>
        </w:rPr>
        <w:t xml:space="preserve">  Children also required to file.</w:t>
      </w:r>
    </w:p>
    <w:p w14:paraId="71ADE8F9" w14:textId="19038F7D" w:rsidR="00970F31" w:rsidRDefault="001E462A" w:rsidP="00970F31">
      <w:pPr>
        <w:pStyle w:val="NoSpacing"/>
        <w:numPr>
          <w:ilvl w:val="0"/>
          <w:numId w:val="14"/>
        </w:numPr>
        <w:ind w:left="1080"/>
        <w:jc w:val="both"/>
        <w:rPr>
          <w:sz w:val="22"/>
        </w:rPr>
      </w:pPr>
      <w:r w:rsidRPr="000C7CD9">
        <w:rPr>
          <w:sz w:val="22"/>
        </w:rPr>
        <w:t>“</w:t>
      </w:r>
      <w:r w:rsidRPr="000C7CD9">
        <w:rPr>
          <w:i/>
          <w:sz w:val="22"/>
        </w:rPr>
        <w:t>FinCen Form 114</w:t>
      </w:r>
      <w:r w:rsidRPr="000C7CD9">
        <w:rPr>
          <w:sz w:val="22"/>
        </w:rPr>
        <w:t xml:space="preserve">”:  </w:t>
      </w:r>
      <w:r w:rsidR="000C7CD9" w:rsidRPr="000C7CD9">
        <w:rPr>
          <w:sz w:val="22"/>
        </w:rPr>
        <w:t>used to report a financial interest or signature authority over a foreign financial account.  F</w:t>
      </w:r>
      <w:r w:rsidRPr="000C7CD9">
        <w:rPr>
          <w:sz w:val="22"/>
        </w:rPr>
        <w:t xml:space="preserve">iled </w:t>
      </w:r>
      <w:r w:rsidR="000C7CD9" w:rsidRPr="000C7CD9">
        <w:rPr>
          <w:sz w:val="22"/>
        </w:rPr>
        <w:t>electronically.</w:t>
      </w:r>
      <w:r w:rsidRPr="000C7CD9">
        <w:rPr>
          <w:sz w:val="22"/>
        </w:rPr>
        <w:t xml:space="preserve">  Due Date </w:t>
      </w:r>
      <w:r w:rsidR="000C7CD9">
        <w:rPr>
          <w:sz w:val="22"/>
        </w:rPr>
        <w:t>–</w:t>
      </w:r>
      <w:r w:rsidR="00970F31" w:rsidRPr="000C7CD9">
        <w:rPr>
          <w:sz w:val="22"/>
        </w:rPr>
        <w:t xml:space="preserve"> </w:t>
      </w:r>
      <w:r w:rsidR="000C7CD9">
        <w:rPr>
          <w:sz w:val="22"/>
        </w:rPr>
        <w:t>April 15 with automatic extension to October 15.  “</w:t>
      </w:r>
      <w:r w:rsidR="000C7CD9">
        <w:rPr>
          <w:i/>
          <w:sz w:val="22"/>
        </w:rPr>
        <w:t>FinCen”</w:t>
      </w:r>
      <w:r w:rsidR="000C7CD9">
        <w:rPr>
          <w:sz w:val="22"/>
        </w:rPr>
        <w:t xml:space="preserve"> refers to Financial Crimes Enforcement Network administered by U.S. Treasury.</w:t>
      </w:r>
      <w:r w:rsidR="000C7CD9">
        <w:rPr>
          <w:i/>
          <w:sz w:val="22"/>
        </w:rPr>
        <w:t xml:space="preserve"> </w:t>
      </w:r>
    </w:p>
    <w:p w14:paraId="674C9CB7" w14:textId="77777777" w:rsidR="000C7CD9" w:rsidRPr="000C7CD9" w:rsidRDefault="000C7CD9" w:rsidP="000C7CD9">
      <w:pPr>
        <w:pStyle w:val="NoSpacing"/>
        <w:ind w:left="1080"/>
        <w:jc w:val="both"/>
        <w:rPr>
          <w:sz w:val="22"/>
        </w:rPr>
      </w:pPr>
    </w:p>
    <w:p w14:paraId="76C9B9C2" w14:textId="4754C653" w:rsidR="00970F31" w:rsidRDefault="00970F31" w:rsidP="00970F31">
      <w:pPr>
        <w:pStyle w:val="NoSpacing"/>
        <w:jc w:val="both"/>
        <w:rPr>
          <w:sz w:val="22"/>
        </w:rPr>
      </w:pPr>
      <w:r>
        <w:rPr>
          <w:sz w:val="22"/>
        </w:rPr>
        <w:t>B.</w:t>
      </w:r>
      <w:r>
        <w:rPr>
          <w:sz w:val="22"/>
        </w:rPr>
        <w:tab/>
      </w:r>
      <w:r>
        <w:rPr>
          <w:sz w:val="22"/>
          <w:u w:val="single"/>
        </w:rPr>
        <w:t>Statement of Foreign Financial Assets</w:t>
      </w:r>
      <w:r>
        <w:rPr>
          <w:sz w:val="22"/>
        </w:rPr>
        <w:t xml:space="preserve">.  US citizens and </w:t>
      </w:r>
      <w:r w:rsidR="00180394">
        <w:rPr>
          <w:sz w:val="22"/>
        </w:rPr>
        <w:t>US tax residents required to file annual report.</w:t>
      </w:r>
    </w:p>
    <w:p w14:paraId="6A367C8B" w14:textId="77777777" w:rsidR="00180394" w:rsidRDefault="00180394" w:rsidP="00970F31">
      <w:pPr>
        <w:pStyle w:val="NoSpacing"/>
        <w:jc w:val="both"/>
        <w:rPr>
          <w:sz w:val="22"/>
        </w:rPr>
      </w:pPr>
    </w:p>
    <w:p w14:paraId="48756861" w14:textId="11F0F4B1" w:rsidR="00180394" w:rsidRDefault="00180394" w:rsidP="006A56B3">
      <w:pPr>
        <w:pStyle w:val="NoSpacing"/>
        <w:numPr>
          <w:ilvl w:val="0"/>
          <w:numId w:val="20"/>
        </w:numPr>
        <w:jc w:val="both"/>
        <w:rPr>
          <w:sz w:val="22"/>
        </w:rPr>
      </w:pPr>
      <w:r>
        <w:rPr>
          <w:i/>
          <w:sz w:val="22"/>
        </w:rPr>
        <w:t>Specified Foreign Financial Account.</w:t>
      </w:r>
      <w:r>
        <w:rPr>
          <w:sz w:val="22"/>
        </w:rPr>
        <w:t xml:space="preserve">  Generally all foreign accounts except those maintained by US payer or branch thereof.</w:t>
      </w:r>
    </w:p>
    <w:p w14:paraId="0063CB3D" w14:textId="77777777" w:rsidR="00676AFC" w:rsidRDefault="00676AFC" w:rsidP="00676AFC">
      <w:pPr>
        <w:pStyle w:val="NoSpacing"/>
        <w:ind w:left="720"/>
        <w:jc w:val="both"/>
        <w:rPr>
          <w:sz w:val="22"/>
        </w:rPr>
      </w:pPr>
    </w:p>
    <w:p w14:paraId="22280FBB" w14:textId="08C5D982" w:rsidR="00E7550A" w:rsidRDefault="00E7550A" w:rsidP="006A56B3">
      <w:pPr>
        <w:pStyle w:val="NoSpacing"/>
        <w:numPr>
          <w:ilvl w:val="0"/>
          <w:numId w:val="20"/>
        </w:numPr>
        <w:jc w:val="both"/>
        <w:rPr>
          <w:sz w:val="22"/>
        </w:rPr>
      </w:pPr>
      <w:r>
        <w:rPr>
          <w:i/>
          <w:sz w:val="22"/>
        </w:rPr>
        <w:t>Foreign Financial “Asset”:</w:t>
      </w:r>
      <w:r>
        <w:rPr>
          <w:sz w:val="22"/>
        </w:rPr>
        <w:t xml:space="preserve">  foreign issues securities or stock; foreign entity interests; financial instruments or </w:t>
      </w:r>
      <w:r w:rsidR="00DA5AED">
        <w:rPr>
          <w:sz w:val="22"/>
        </w:rPr>
        <w:t>contracts with</w:t>
      </w:r>
      <w:r>
        <w:rPr>
          <w:sz w:val="22"/>
        </w:rPr>
        <w:t xml:space="preserve"> a foreign issuer.</w:t>
      </w:r>
    </w:p>
    <w:p w14:paraId="07E6DEAC" w14:textId="77777777" w:rsidR="00676AFC" w:rsidRDefault="00676AFC" w:rsidP="00676AFC">
      <w:pPr>
        <w:pStyle w:val="NoSpacing"/>
        <w:ind w:left="720"/>
        <w:jc w:val="both"/>
        <w:rPr>
          <w:sz w:val="22"/>
        </w:rPr>
      </w:pPr>
    </w:p>
    <w:p w14:paraId="534413AD" w14:textId="24FB3B65" w:rsidR="00E7550A" w:rsidRPr="00676AFC" w:rsidRDefault="00E7550A" w:rsidP="006A56B3">
      <w:pPr>
        <w:pStyle w:val="NoSpacing"/>
        <w:numPr>
          <w:ilvl w:val="0"/>
          <w:numId w:val="20"/>
        </w:numPr>
        <w:jc w:val="both"/>
        <w:rPr>
          <w:i/>
          <w:sz w:val="22"/>
        </w:rPr>
      </w:pPr>
      <w:r w:rsidRPr="00E7550A">
        <w:rPr>
          <w:i/>
          <w:sz w:val="22"/>
        </w:rPr>
        <w:t>Dollar Threshold.</w:t>
      </w:r>
      <w:r>
        <w:rPr>
          <w:i/>
          <w:sz w:val="22"/>
        </w:rPr>
        <w:t xml:space="preserve">  </w:t>
      </w:r>
      <w:r>
        <w:rPr>
          <w:sz w:val="22"/>
        </w:rPr>
        <w:t>Generally $50,000, but higher thresholds apply for filing status, e.g., single, married, married filing separately.</w:t>
      </w:r>
    </w:p>
    <w:p w14:paraId="76041545" w14:textId="77777777" w:rsidR="00676AFC" w:rsidRPr="00E7550A" w:rsidRDefault="00676AFC" w:rsidP="00676AFC">
      <w:pPr>
        <w:pStyle w:val="NoSpacing"/>
        <w:ind w:left="720"/>
        <w:jc w:val="both"/>
        <w:rPr>
          <w:i/>
          <w:sz w:val="22"/>
        </w:rPr>
      </w:pPr>
    </w:p>
    <w:p w14:paraId="2BEC6CE7" w14:textId="5AB94A67" w:rsidR="003D6EAD" w:rsidRDefault="00E7550A" w:rsidP="006A56B3">
      <w:pPr>
        <w:pStyle w:val="NoSpacing"/>
        <w:numPr>
          <w:ilvl w:val="0"/>
          <w:numId w:val="20"/>
        </w:numPr>
        <w:jc w:val="both"/>
        <w:rPr>
          <w:i/>
          <w:sz w:val="22"/>
        </w:rPr>
      </w:pPr>
      <w:r>
        <w:rPr>
          <w:i/>
          <w:sz w:val="22"/>
        </w:rPr>
        <w:t>Exceptions.</w:t>
      </w:r>
    </w:p>
    <w:p w14:paraId="3A7C4D32" w14:textId="77777777" w:rsidR="00F3072D" w:rsidRPr="003D6EAD" w:rsidRDefault="00F3072D" w:rsidP="00F3072D">
      <w:pPr>
        <w:pStyle w:val="NoSpacing"/>
        <w:ind w:left="720"/>
        <w:jc w:val="both"/>
        <w:rPr>
          <w:i/>
          <w:sz w:val="22"/>
        </w:rPr>
      </w:pPr>
    </w:p>
    <w:p w14:paraId="11682B69" w14:textId="55591179" w:rsidR="003D6EAD" w:rsidRPr="00F3072D" w:rsidRDefault="003D6EAD" w:rsidP="006A56B3">
      <w:pPr>
        <w:pStyle w:val="NoSpacing"/>
        <w:numPr>
          <w:ilvl w:val="1"/>
          <w:numId w:val="20"/>
        </w:numPr>
        <w:jc w:val="both"/>
        <w:rPr>
          <w:i/>
          <w:sz w:val="22"/>
        </w:rPr>
      </w:pPr>
      <w:r>
        <w:rPr>
          <w:sz w:val="22"/>
        </w:rPr>
        <w:t>Taxpayer not required to file return for the year.</w:t>
      </w:r>
    </w:p>
    <w:p w14:paraId="185D1746" w14:textId="77777777" w:rsidR="00F3072D" w:rsidRPr="003D6EAD" w:rsidRDefault="00F3072D" w:rsidP="00F3072D">
      <w:pPr>
        <w:pStyle w:val="NoSpacing"/>
        <w:ind w:left="1440"/>
        <w:jc w:val="both"/>
        <w:rPr>
          <w:i/>
          <w:sz w:val="22"/>
        </w:rPr>
      </w:pPr>
    </w:p>
    <w:p w14:paraId="4EB83CDA" w14:textId="77777777" w:rsidR="003D6EAD" w:rsidRPr="00676AFC" w:rsidRDefault="003D6EAD" w:rsidP="006A56B3">
      <w:pPr>
        <w:pStyle w:val="NoSpacing"/>
        <w:numPr>
          <w:ilvl w:val="1"/>
          <w:numId w:val="20"/>
        </w:numPr>
        <w:jc w:val="both"/>
        <w:rPr>
          <w:i/>
          <w:sz w:val="22"/>
        </w:rPr>
      </w:pPr>
      <w:r>
        <w:rPr>
          <w:sz w:val="22"/>
        </w:rPr>
        <w:t xml:space="preserve">Taxpayers who have reported foreign financial assets on another return, </w:t>
      </w:r>
      <w:r w:rsidRPr="00F3072D">
        <w:rPr>
          <w:i/>
          <w:sz w:val="22"/>
        </w:rPr>
        <w:t>e.g.,</w:t>
      </w:r>
      <w:r>
        <w:rPr>
          <w:sz w:val="22"/>
        </w:rPr>
        <w:t xml:space="preserve"> Forms 3520, 3520-A, 5471, 8621, 8865, or 8891.</w:t>
      </w:r>
    </w:p>
    <w:p w14:paraId="3F513656" w14:textId="77777777" w:rsidR="00676AFC" w:rsidRPr="003D6EAD" w:rsidRDefault="00676AFC" w:rsidP="00676AFC">
      <w:pPr>
        <w:pStyle w:val="NoSpacing"/>
        <w:ind w:left="1440"/>
        <w:jc w:val="both"/>
        <w:rPr>
          <w:i/>
          <w:sz w:val="22"/>
        </w:rPr>
      </w:pPr>
    </w:p>
    <w:p w14:paraId="611DE8EF" w14:textId="77777777" w:rsidR="00015BC8" w:rsidRPr="00015BC8" w:rsidRDefault="003D6EAD" w:rsidP="006A56B3">
      <w:pPr>
        <w:pStyle w:val="NoSpacing"/>
        <w:numPr>
          <w:ilvl w:val="0"/>
          <w:numId w:val="20"/>
        </w:numPr>
        <w:jc w:val="both"/>
        <w:rPr>
          <w:i/>
          <w:sz w:val="22"/>
        </w:rPr>
      </w:pPr>
      <w:r>
        <w:rPr>
          <w:i/>
          <w:sz w:val="22"/>
        </w:rPr>
        <w:t>Form 8938.</w:t>
      </w:r>
      <w:r>
        <w:rPr>
          <w:sz w:val="22"/>
        </w:rPr>
        <w:t xml:space="preserve">   Filed with Form 1040 or other applicable annual return.</w:t>
      </w:r>
    </w:p>
    <w:p w14:paraId="21C7B5F3" w14:textId="77777777" w:rsidR="00015BC8" w:rsidRDefault="00015BC8" w:rsidP="00015BC8">
      <w:pPr>
        <w:pStyle w:val="NoSpacing"/>
        <w:jc w:val="both"/>
        <w:rPr>
          <w:sz w:val="22"/>
        </w:rPr>
      </w:pPr>
    </w:p>
    <w:p w14:paraId="64561463" w14:textId="47686055" w:rsidR="003D6EAD" w:rsidRDefault="00015BC8" w:rsidP="00015BC8">
      <w:pPr>
        <w:pStyle w:val="NoSpacing"/>
        <w:jc w:val="both"/>
        <w:rPr>
          <w:sz w:val="22"/>
        </w:rPr>
      </w:pPr>
      <w:r>
        <w:rPr>
          <w:sz w:val="22"/>
        </w:rPr>
        <w:t>C.</w:t>
      </w:r>
      <w:r>
        <w:rPr>
          <w:sz w:val="22"/>
        </w:rPr>
        <w:tab/>
      </w:r>
      <w:r w:rsidR="00237685">
        <w:rPr>
          <w:sz w:val="22"/>
          <w:u w:val="single"/>
        </w:rPr>
        <w:t>Form 3520</w:t>
      </w:r>
      <w:r w:rsidR="00237685">
        <w:rPr>
          <w:sz w:val="22"/>
        </w:rPr>
        <w:t>.  Somewhat of a “catchall” return on which foreign gifts and foreign trust transactions are to be reported.</w:t>
      </w:r>
    </w:p>
    <w:p w14:paraId="1DBED147" w14:textId="77777777" w:rsidR="00237685" w:rsidRDefault="00237685" w:rsidP="00015BC8">
      <w:pPr>
        <w:pStyle w:val="NoSpacing"/>
        <w:jc w:val="both"/>
        <w:rPr>
          <w:sz w:val="22"/>
        </w:rPr>
      </w:pPr>
    </w:p>
    <w:p w14:paraId="15BD042B" w14:textId="2101387D" w:rsidR="00237685" w:rsidRDefault="00447D8D" w:rsidP="006A56B3">
      <w:pPr>
        <w:pStyle w:val="NoSpacing"/>
        <w:numPr>
          <w:ilvl w:val="0"/>
          <w:numId w:val="21"/>
        </w:numPr>
        <w:jc w:val="both"/>
        <w:rPr>
          <w:i/>
          <w:sz w:val="22"/>
        </w:rPr>
      </w:pPr>
      <w:r w:rsidRPr="00F3072D">
        <w:rPr>
          <w:i/>
          <w:sz w:val="22"/>
        </w:rPr>
        <w:t>Transactions with Foreign Trust and Receipt of Foreign Gifts.</w:t>
      </w:r>
      <w:r>
        <w:rPr>
          <w:sz w:val="22"/>
        </w:rPr>
        <w:t xml:space="preserve">  </w:t>
      </w:r>
      <w:r w:rsidR="00F3072D">
        <w:rPr>
          <w:rFonts w:cs="Times New Roman"/>
          <w:sz w:val="22"/>
        </w:rPr>
        <w:t>§§</w:t>
      </w:r>
      <w:r>
        <w:rPr>
          <w:sz w:val="22"/>
        </w:rPr>
        <w:t xml:space="preserve">671 </w:t>
      </w:r>
      <w:r w:rsidR="00F3072D">
        <w:rPr>
          <w:sz w:val="22"/>
        </w:rPr>
        <w:t>–</w:t>
      </w:r>
      <w:r>
        <w:rPr>
          <w:sz w:val="22"/>
        </w:rPr>
        <w:t xml:space="preserve"> 679</w:t>
      </w:r>
      <w:r w:rsidR="00F3072D">
        <w:rPr>
          <w:sz w:val="22"/>
        </w:rPr>
        <w:t>.</w:t>
      </w:r>
    </w:p>
    <w:p w14:paraId="3A7D1394" w14:textId="77777777" w:rsidR="00447D8D" w:rsidRPr="00447D8D" w:rsidRDefault="00447D8D" w:rsidP="00447D8D">
      <w:pPr>
        <w:pStyle w:val="NoSpacing"/>
        <w:ind w:left="720"/>
        <w:jc w:val="both"/>
        <w:rPr>
          <w:i/>
          <w:sz w:val="22"/>
        </w:rPr>
      </w:pPr>
    </w:p>
    <w:p w14:paraId="013744F4" w14:textId="46E0D51F" w:rsidR="00447D8D" w:rsidRDefault="00447D8D" w:rsidP="006A56B3">
      <w:pPr>
        <w:pStyle w:val="NoSpacing"/>
        <w:numPr>
          <w:ilvl w:val="0"/>
          <w:numId w:val="21"/>
        </w:numPr>
        <w:jc w:val="both"/>
        <w:rPr>
          <w:i/>
          <w:sz w:val="22"/>
        </w:rPr>
      </w:pPr>
      <w:r w:rsidRPr="00F3072D">
        <w:rPr>
          <w:i/>
          <w:sz w:val="22"/>
        </w:rPr>
        <w:t>Notice of Large Gifts Received from Foreign Persons</w:t>
      </w:r>
      <w:r>
        <w:rPr>
          <w:i/>
          <w:sz w:val="22"/>
        </w:rPr>
        <w:t>.</w:t>
      </w:r>
      <w:r>
        <w:rPr>
          <w:sz w:val="22"/>
        </w:rPr>
        <w:t xml:space="preserve">  </w:t>
      </w:r>
      <w:r w:rsidR="00F3072D">
        <w:rPr>
          <w:rFonts w:cs="Times New Roman"/>
          <w:sz w:val="22"/>
        </w:rPr>
        <w:t>§</w:t>
      </w:r>
      <w:r>
        <w:rPr>
          <w:sz w:val="22"/>
        </w:rPr>
        <w:t>6039F</w:t>
      </w:r>
      <w:r w:rsidR="00F3072D">
        <w:rPr>
          <w:sz w:val="22"/>
        </w:rPr>
        <w:t>.</w:t>
      </w:r>
    </w:p>
    <w:p w14:paraId="6B64D760" w14:textId="77777777" w:rsidR="00447D8D" w:rsidRPr="00447D8D" w:rsidRDefault="00447D8D" w:rsidP="00447D8D">
      <w:pPr>
        <w:pStyle w:val="NoSpacing"/>
        <w:jc w:val="both"/>
        <w:rPr>
          <w:i/>
          <w:sz w:val="22"/>
        </w:rPr>
      </w:pPr>
    </w:p>
    <w:p w14:paraId="376446CA" w14:textId="545B3B39" w:rsidR="00447D8D" w:rsidRPr="00447D8D" w:rsidRDefault="00447D8D" w:rsidP="006A56B3">
      <w:pPr>
        <w:pStyle w:val="NoSpacing"/>
        <w:numPr>
          <w:ilvl w:val="0"/>
          <w:numId w:val="21"/>
        </w:numPr>
        <w:jc w:val="both"/>
        <w:rPr>
          <w:i/>
          <w:sz w:val="22"/>
        </w:rPr>
      </w:pPr>
      <w:r w:rsidRPr="00F3072D">
        <w:rPr>
          <w:i/>
          <w:sz w:val="22"/>
        </w:rPr>
        <w:t>Information with Respect To Certain Trusts</w:t>
      </w:r>
      <w:r>
        <w:rPr>
          <w:i/>
          <w:sz w:val="22"/>
        </w:rPr>
        <w:t>.</w:t>
      </w:r>
      <w:r>
        <w:rPr>
          <w:sz w:val="22"/>
        </w:rPr>
        <w:t xml:space="preserve">  </w:t>
      </w:r>
      <w:r w:rsidR="00F3072D">
        <w:rPr>
          <w:rFonts w:cs="Times New Roman"/>
          <w:sz w:val="22"/>
        </w:rPr>
        <w:t>§</w:t>
      </w:r>
      <w:r>
        <w:rPr>
          <w:sz w:val="22"/>
        </w:rPr>
        <w:t>6048.</w:t>
      </w:r>
    </w:p>
    <w:p w14:paraId="52788C1C" w14:textId="77777777" w:rsidR="00447D8D" w:rsidRDefault="00447D8D" w:rsidP="00447D8D">
      <w:pPr>
        <w:pStyle w:val="NoSpacing"/>
        <w:jc w:val="both"/>
        <w:rPr>
          <w:i/>
          <w:sz w:val="22"/>
        </w:rPr>
      </w:pPr>
    </w:p>
    <w:p w14:paraId="5A8313C7" w14:textId="67A4C87B" w:rsidR="00447D8D" w:rsidRPr="00676AFC" w:rsidRDefault="00447D8D" w:rsidP="006A56B3">
      <w:pPr>
        <w:pStyle w:val="NoSpacing"/>
        <w:numPr>
          <w:ilvl w:val="1"/>
          <w:numId w:val="21"/>
        </w:numPr>
        <w:jc w:val="both"/>
        <w:rPr>
          <w:i/>
          <w:sz w:val="22"/>
        </w:rPr>
      </w:pPr>
      <w:r>
        <w:rPr>
          <w:i/>
          <w:sz w:val="22"/>
        </w:rPr>
        <w:t>Due Date.</w:t>
      </w:r>
      <w:r>
        <w:rPr>
          <w:sz w:val="22"/>
        </w:rPr>
        <w:t xml:space="preserve">  </w:t>
      </w:r>
      <w:r w:rsidR="00F13C46">
        <w:rPr>
          <w:sz w:val="22"/>
        </w:rPr>
        <w:t>For above returns, s</w:t>
      </w:r>
      <w:r w:rsidRPr="00F13C46">
        <w:rPr>
          <w:sz w:val="22"/>
        </w:rPr>
        <w:t>ame as income tax return.</w:t>
      </w:r>
    </w:p>
    <w:p w14:paraId="299E5850" w14:textId="77777777" w:rsidR="00676AFC" w:rsidRPr="00F13C46" w:rsidRDefault="00676AFC" w:rsidP="00676AFC">
      <w:pPr>
        <w:pStyle w:val="NoSpacing"/>
        <w:ind w:left="1440"/>
        <w:jc w:val="both"/>
        <w:rPr>
          <w:i/>
          <w:sz w:val="22"/>
        </w:rPr>
      </w:pPr>
    </w:p>
    <w:p w14:paraId="7D9DA60B" w14:textId="38656B04" w:rsidR="00F13C46" w:rsidRPr="00F13C46" w:rsidRDefault="00F13C46" w:rsidP="006A56B3">
      <w:pPr>
        <w:pStyle w:val="NoSpacing"/>
        <w:numPr>
          <w:ilvl w:val="1"/>
          <w:numId w:val="21"/>
        </w:numPr>
        <w:jc w:val="both"/>
        <w:rPr>
          <w:i/>
          <w:sz w:val="22"/>
        </w:rPr>
      </w:pPr>
      <w:r w:rsidRPr="00F13C46">
        <w:rPr>
          <w:i/>
          <w:sz w:val="22"/>
        </w:rPr>
        <w:t>Filing Center.</w:t>
      </w:r>
      <w:r w:rsidRPr="00F13C46">
        <w:rPr>
          <w:sz w:val="22"/>
        </w:rPr>
        <w:t xml:space="preserve">  Ogden.</w:t>
      </w:r>
    </w:p>
    <w:p w14:paraId="79037AA5" w14:textId="77777777" w:rsidR="00F13C46" w:rsidRDefault="00F13C46" w:rsidP="00F13C46">
      <w:pPr>
        <w:pStyle w:val="NoSpacing"/>
        <w:jc w:val="both"/>
        <w:rPr>
          <w:i/>
          <w:sz w:val="22"/>
        </w:rPr>
      </w:pPr>
    </w:p>
    <w:p w14:paraId="15850E35" w14:textId="442FB6DB" w:rsidR="00F13C46" w:rsidRDefault="00F13C46" w:rsidP="00F13C46">
      <w:pPr>
        <w:pStyle w:val="NoSpacing"/>
        <w:jc w:val="both"/>
        <w:rPr>
          <w:sz w:val="22"/>
        </w:rPr>
      </w:pPr>
      <w:r>
        <w:rPr>
          <w:sz w:val="22"/>
        </w:rPr>
        <w:t>D.</w:t>
      </w:r>
      <w:r>
        <w:rPr>
          <w:sz w:val="22"/>
        </w:rPr>
        <w:tab/>
      </w:r>
      <w:r>
        <w:rPr>
          <w:sz w:val="22"/>
          <w:u w:val="single"/>
        </w:rPr>
        <w:t>Form 3520-A</w:t>
      </w:r>
      <w:r>
        <w:rPr>
          <w:sz w:val="22"/>
        </w:rPr>
        <w:t>.</w:t>
      </w:r>
    </w:p>
    <w:p w14:paraId="31DE9CBC" w14:textId="77777777" w:rsidR="00F13C46" w:rsidRDefault="00F13C46" w:rsidP="00F13C46">
      <w:pPr>
        <w:pStyle w:val="NoSpacing"/>
        <w:jc w:val="both"/>
        <w:rPr>
          <w:sz w:val="22"/>
        </w:rPr>
      </w:pPr>
    </w:p>
    <w:p w14:paraId="2B0569B8" w14:textId="4AFBD738" w:rsidR="00F13C46" w:rsidRDefault="00F13C46" w:rsidP="006A56B3">
      <w:pPr>
        <w:pStyle w:val="NoSpacing"/>
        <w:numPr>
          <w:ilvl w:val="0"/>
          <w:numId w:val="22"/>
        </w:numPr>
        <w:jc w:val="both"/>
        <w:rPr>
          <w:sz w:val="22"/>
        </w:rPr>
      </w:pPr>
      <w:r w:rsidRPr="00F3072D">
        <w:rPr>
          <w:i/>
          <w:sz w:val="22"/>
        </w:rPr>
        <w:t>Annual Information Return of Foreign Trust with a U.S. Owner</w:t>
      </w:r>
      <w:r>
        <w:rPr>
          <w:i/>
          <w:sz w:val="22"/>
        </w:rPr>
        <w:t>.</w:t>
      </w:r>
      <w:r>
        <w:rPr>
          <w:sz w:val="22"/>
        </w:rPr>
        <w:t xml:space="preserve">  </w:t>
      </w:r>
      <w:r w:rsidR="00F3072D">
        <w:rPr>
          <w:rFonts w:cs="Times New Roman"/>
          <w:sz w:val="22"/>
        </w:rPr>
        <w:t>§</w:t>
      </w:r>
      <w:r>
        <w:rPr>
          <w:sz w:val="22"/>
        </w:rPr>
        <w:t>6048(b).</w:t>
      </w:r>
    </w:p>
    <w:p w14:paraId="0F469663" w14:textId="2DC7600F" w:rsidR="0060320E" w:rsidRDefault="0060320E" w:rsidP="006A56B3">
      <w:pPr>
        <w:pStyle w:val="NoSpacing"/>
        <w:numPr>
          <w:ilvl w:val="1"/>
          <w:numId w:val="22"/>
        </w:numPr>
        <w:jc w:val="both"/>
        <w:rPr>
          <w:sz w:val="22"/>
        </w:rPr>
      </w:pPr>
      <w:r>
        <w:rPr>
          <w:i/>
          <w:sz w:val="22"/>
        </w:rPr>
        <w:t>Due Date.</w:t>
      </w:r>
      <w:r>
        <w:rPr>
          <w:sz w:val="22"/>
        </w:rPr>
        <w:t xml:space="preserve">  Same as for trust’s tax return.</w:t>
      </w:r>
    </w:p>
    <w:p w14:paraId="3AAEAB16" w14:textId="77777777" w:rsidR="00676AFC" w:rsidRDefault="00676AFC" w:rsidP="00676AFC">
      <w:pPr>
        <w:pStyle w:val="NoSpacing"/>
        <w:ind w:left="1440"/>
        <w:jc w:val="both"/>
        <w:rPr>
          <w:sz w:val="22"/>
        </w:rPr>
      </w:pPr>
    </w:p>
    <w:p w14:paraId="064C0779" w14:textId="59E64368" w:rsidR="0060320E" w:rsidRDefault="0060320E" w:rsidP="006A56B3">
      <w:pPr>
        <w:pStyle w:val="NoSpacing"/>
        <w:numPr>
          <w:ilvl w:val="1"/>
          <w:numId w:val="22"/>
        </w:numPr>
        <w:jc w:val="both"/>
        <w:rPr>
          <w:sz w:val="22"/>
        </w:rPr>
      </w:pPr>
      <w:r>
        <w:rPr>
          <w:i/>
          <w:sz w:val="22"/>
        </w:rPr>
        <w:t>Filing Center.</w:t>
      </w:r>
      <w:r>
        <w:rPr>
          <w:sz w:val="22"/>
        </w:rPr>
        <w:t xml:space="preserve">  Ogden</w:t>
      </w:r>
      <w:r w:rsidR="00676AFC">
        <w:rPr>
          <w:sz w:val="22"/>
        </w:rPr>
        <w:t>.</w:t>
      </w:r>
    </w:p>
    <w:p w14:paraId="76BB1756" w14:textId="77777777" w:rsidR="00C43994" w:rsidRDefault="00C43994" w:rsidP="00C43994">
      <w:pPr>
        <w:pStyle w:val="ListParagraph"/>
        <w:rPr>
          <w:i/>
          <w:sz w:val="22"/>
        </w:rPr>
      </w:pPr>
    </w:p>
    <w:p w14:paraId="73EE04D8" w14:textId="77777777" w:rsidR="00F13C46" w:rsidRDefault="00F13C46" w:rsidP="00F13C46">
      <w:pPr>
        <w:pStyle w:val="NoSpacing"/>
        <w:jc w:val="both"/>
        <w:rPr>
          <w:i/>
          <w:sz w:val="22"/>
        </w:rPr>
      </w:pPr>
    </w:p>
    <w:p w14:paraId="58CE1D1A" w14:textId="77777777" w:rsidR="00F13C46" w:rsidRPr="00F13C46" w:rsidRDefault="00F13C46" w:rsidP="00F13C46">
      <w:pPr>
        <w:pStyle w:val="NoSpacing"/>
        <w:jc w:val="both"/>
        <w:rPr>
          <w:sz w:val="22"/>
        </w:rPr>
      </w:pPr>
    </w:p>
    <w:p w14:paraId="42D10195" w14:textId="027B4604" w:rsidR="00A91FF8" w:rsidRPr="00C33BC9" w:rsidRDefault="00C43994" w:rsidP="00C43994">
      <w:pPr>
        <w:tabs>
          <w:tab w:val="left" w:pos="2080"/>
        </w:tabs>
        <w:jc w:val="center"/>
      </w:pPr>
      <w:r>
        <w:t>RMK</w:t>
      </w:r>
    </w:p>
    <w:sectPr w:rsidR="00A91FF8" w:rsidRPr="00C33B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FAF90" w14:textId="77777777" w:rsidR="006A56B3" w:rsidRDefault="006A56B3" w:rsidP="008A092A">
      <w:pPr>
        <w:spacing w:after="0" w:line="240" w:lineRule="auto"/>
      </w:pPr>
      <w:r>
        <w:separator/>
      </w:r>
    </w:p>
  </w:endnote>
  <w:endnote w:type="continuationSeparator" w:id="0">
    <w:p w14:paraId="41425384" w14:textId="77777777" w:rsidR="006A56B3" w:rsidRDefault="006A56B3" w:rsidP="008A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8F34" w14:textId="77777777" w:rsidR="00C83D35" w:rsidRDefault="00C83D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637FC" w14:textId="58B615B9" w:rsidR="00AE2FA1" w:rsidRPr="00C83D35" w:rsidRDefault="00205083" w:rsidP="00C83D35">
    <w:pPr>
      <w:pStyle w:val="Footer"/>
    </w:pPr>
    <w:r w:rsidRPr="00205083">
      <w:rPr>
        <w:noProof/>
        <w:vanish/>
        <w:sz w:val="12"/>
      </w:rPr>
      <w:t>{</w:t>
    </w:r>
    <w:r w:rsidRPr="00205083">
      <w:rPr>
        <w:noProof/>
        <w:sz w:val="12"/>
      </w:rPr>
      <w:t xml:space="preserve">01055054-1 </w:t>
    </w:r>
    <w:r w:rsidRPr="00205083">
      <w:rPr>
        <w:noProof/>
        <w:vanish/>
        <w:sz w:val="12"/>
      </w:rPr>
      <w:t>}</w:t>
    </w:r>
    <w:r w:rsidR="00C83D35">
      <w:tab/>
    </w:r>
    <w:sdt>
      <w:sdtPr>
        <w:id w:val="-516466001"/>
        <w:docPartObj>
          <w:docPartGallery w:val="Page Numbers (Bottom of Page)"/>
          <w:docPartUnique/>
        </w:docPartObj>
      </w:sdtPr>
      <w:sdtEndPr>
        <w:rPr>
          <w:noProof/>
        </w:rPr>
      </w:sdtEndPr>
      <w:sdtContent>
        <w:r w:rsidR="00AE2FA1" w:rsidRPr="00C83D35">
          <w:fldChar w:fldCharType="begin"/>
        </w:r>
        <w:r w:rsidR="00AE2FA1" w:rsidRPr="00C83D35">
          <w:instrText xml:space="preserve"> PAGE   \* MERGEFORMAT </w:instrText>
        </w:r>
        <w:r w:rsidR="00AE2FA1" w:rsidRPr="00C83D35">
          <w:fldChar w:fldCharType="separate"/>
        </w:r>
        <w:r w:rsidR="00C05671">
          <w:rPr>
            <w:noProof/>
          </w:rPr>
          <w:t>11</w:t>
        </w:r>
        <w:r w:rsidR="00AE2FA1" w:rsidRPr="00C83D35">
          <w:rPr>
            <w:noProof/>
          </w:rPr>
          <w:fldChar w:fldCharType="end"/>
        </w:r>
      </w:sdtContent>
    </w:sdt>
  </w:p>
  <w:p w14:paraId="18B8F924" w14:textId="77777777" w:rsidR="006A56B3" w:rsidRPr="00C83D35" w:rsidRDefault="006A56B3" w:rsidP="008A092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AD31E" w14:textId="77777777" w:rsidR="00C83D35" w:rsidRDefault="00C83D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68798" w14:textId="77777777" w:rsidR="006A56B3" w:rsidRDefault="006A56B3" w:rsidP="008A092A">
      <w:pPr>
        <w:spacing w:after="0" w:line="240" w:lineRule="auto"/>
        <w:rPr>
          <w:noProof/>
        </w:rPr>
      </w:pPr>
      <w:r>
        <w:rPr>
          <w:noProof/>
        </w:rPr>
        <w:separator/>
      </w:r>
    </w:p>
  </w:footnote>
  <w:footnote w:type="continuationSeparator" w:id="0">
    <w:p w14:paraId="48E82483" w14:textId="77777777" w:rsidR="006A56B3" w:rsidRDefault="006A56B3" w:rsidP="008A092A">
      <w:pPr>
        <w:spacing w:after="0" w:line="240" w:lineRule="auto"/>
      </w:pPr>
      <w:r>
        <w:continuationSeparator/>
      </w:r>
    </w:p>
  </w:footnote>
  <w:footnote w:id="1">
    <w:p w14:paraId="1AD46E56" w14:textId="62239082" w:rsidR="00F02F9D" w:rsidRDefault="00F02F9D">
      <w:pPr>
        <w:pStyle w:val="FootnoteText"/>
      </w:pPr>
      <w:r>
        <w:rPr>
          <w:rStyle w:val="FootnoteReference"/>
        </w:rPr>
        <w:footnoteRef/>
      </w:r>
      <w:r>
        <w:t xml:space="preserve"> Section 7701(a)(30) defines who is a “United States person,” so a foreign person is any person who does not come within the definition of a United States person.</w:t>
      </w:r>
    </w:p>
  </w:footnote>
  <w:footnote w:id="2">
    <w:p w14:paraId="05E6DDF7" w14:textId="6E5A4BBB" w:rsidR="00F02F9D" w:rsidRDefault="00F02F9D">
      <w:pPr>
        <w:pStyle w:val="FootnoteText"/>
      </w:pPr>
      <w:r>
        <w:rPr>
          <w:rStyle w:val="FootnoteReference"/>
        </w:rPr>
        <w:footnoteRef/>
      </w:r>
      <w:r>
        <w:t xml:space="preserve"> Unless otherwise noted, all section references herein are to the Internal Revenue Code of 1986, as amended, and the regulations issued thereunder.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1C6B" w14:textId="77777777" w:rsidR="00C83D35" w:rsidRDefault="00C83D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8A27" w14:textId="77777777" w:rsidR="00C83D35" w:rsidRDefault="00C83D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EB91" w14:textId="77777777" w:rsidR="00C83D35" w:rsidRDefault="00C83D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15F"/>
    <w:multiLevelType w:val="hybridMultilevel"/>
    <w:tmpl w:val="427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D23D1"/>
    <w:multiLevelType w:val="hybridMultilevel"/>
    <w:tmpl w:val="12A8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C1E"/>
    <w:multiLevelType w:val="hybridMultilevel"/>
    <w:tmpl w:val="AD36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818FB"/>
    <w:multiLevelType w:val="hybridMultilevel"/>
    <w:tmpl w:val="5034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56531"/>
    <w:multiLevelType w:val="hybridMultilevel"/>
    <w:tmpl w:val="9444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31037"/>
    <w:multiLevelType w:val="hybridMultilevel"/>
    <w:tmpl w:val="8BACC57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2E939DC"/>
    <w:multiLevelType w:val="hybridMultilevel"/>
    <w:tmpl w:val="B814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D7261"/>
    <w:multiLevelType w:val="hybridMultilevel"/>
    <w:tmpl w:val="BFE2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60E85"/>
    <w:multiLevelType w:val="hybridMultilevel"/>
    <w:tmpl w:val="AC10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80369"/>
    <w:multiLevelType w:val="hybridMultilevel"/>
    <w:tmpl w:val="156C5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6C23F4"/>
    <w:multiLevelType w:val="hybridMultilevel"/>
    <w:tmpl w:val="2D5EB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B493A"/>
    <w:multiLevelType w:val="hybridMultilevel"/>
    <w:tmpl w:val="BEE26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0C6724"/>
    <w:multiLevelType w:val="hybridMultilevel"/>
    <w:tmpl w:val="E10E6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4040FB"/>
    <w:multiLevelType w:val="hybridMultilevel"/>
    <w:tmpl w:val="495A7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4335E9"/>
    <w:multiLevelType w:val="hybridMultilevel"/>
    <w:tmpl w:val="C51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437C3"/>
    <w:multiLevelType w:val="hybridMultilevel"/>
    <w:tmpl w:val="F49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B5D2A"/>
    <w:multiLevelType w:val="hybridMultilevel"/>
    <w:tmpl w:val="B7827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D51B59"/>
    <w:multiLevelType w:val="hybridMultilevel"/>
    <w:tmpl w:val="4406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B13C5"/>
    <w:multiLevelType w:val="hybridMultilevel"/>
    <w:tmpl w:val="3E6E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847DB9"/>
    <w:multiLevelType w:val="hybridMultilevel"/>
    <w:tmpl w:val="FC281D9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F733F"/>
    <w:multiLevelType w:val="hybridMultilevel"/>
    <w:tmpl w:val="1444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076D7"/>
    <w:multiLevelType w:val="hybridMultilevel"/>
    <w:tmpl w:val="D690F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DF65EA"/>
    <w:multiLevelType w:val="hybridMultilevel"/>
    <w:tmpl w:val="3DFC3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DD6AAA"/>
    <w:multiLevelType w:val="hybridMultilevel"/>
    <w:tmpl w:val="07B28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245C14"/>
    <w:multiLevelType w:val="hybridMultilevel"/>
    <w:tmpl w:val="C80E73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6B3803"/>
    <w:multiLevelType w:val="hybridMultilevel"/>
    <w:tmpl w:val="400C7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724BDA"/>
    <w:multiLevelType w:val="hybridMultilevel"/>
    <w:tmpl w:val="743A3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8022AD"/>
    <w:multiLevelType w:val="hybridMultilevel"/>
    <w:tmpl w:val="EEC82D3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nsid w:val="4E9F79CE"/>
    <w:multiLevelType w:val="hybridMultilevel"/>
    <w:tmpl w:val="9682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B81DA2"/>
    <w:multiLevelType w:val="hybridMultilevel"/>
    <w:tmpl w:val="F10E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D1736"/>
    <w:multiLevelType w:val="hybridMultilevel"/>
    <w:tmpl w:val="2974B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CF3452"/>
    <w:multiLevelType w:val="hybridMultilevel"/>
    <w:tmpl w:val="CE5E8B64"/>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6D66F6C"/>
    <w:multiLevelType w:val="hybridMultilevel"/>
    <w:tmpl w:val="068220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89E4221"/>
    <w:multiLevelType w:val="hybridMultilevel"/>
    <w:tmpl w:val="3C80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455239"/>
    <w:multiLevelType w:val="hybridMultilevel"/>
    <w:tmpl w:val="1D48B0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C119F1"/>
    <w:multiLevelType w:val="hybridMultilevel"/>
    <w:tmpl w:val="11D2F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10045"/>
    <w:multiLevelType w:val="hybridMultilevel"/>
    <w:tmpl w:val="0588B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5A6272F"/>
    <w:multiLevelType w:val="hybridMultilevel"/>
    <w:tmpl w:val="67C4539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0F06CA"/>
    <w:multiLevelType w:val="hybridMultilevel"/>
    <w:tmpl w:val="2B20DE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644A61"/>
    <w:multiLevelType w:val="hybridMultilevel"/>
    <w:tmpl w:val="7CF8A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E811FF"/>
    <w:multiLevelType w:val="hybridMultilevel"/>
    <w:tmpl w:val="3E4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86BEF"/>
    <w:multiLevelType w:val="hybridMultilevel"/>
    <w:tmpl w:val="F4A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4"/>
  </w:num>
  <w:num w:numId="4">
    <w:abstractNumId w:val="8"/>
  </w:num>
  <w:num w:numId="5">
    <w:abstractNumId w:val="34"/>
  </w:num>
  <w:num w:numId="6">
    <w:abstractNumId w:val="28"/>
  </w:num>
  <w:num w:numId="7">
    <w:abstractNumId w:val="31"/>
  </w:num>
  <w:num w:numId="8">
    <w:abstractNumId w:val="1"/>
  </w:num>
  <w:num w:numId="9">
    <w:abstractNumId w:val="7"/>
  </w:num>
  <w:num w:numId="10">
    <w:abstractNumId w:val="29"/>
  </w:num>
  <w:num w:numId="11">
    <w:abstractNumId w:val="18"/>
  </w:num>
  <w:num w:numId="12">
    <w:abstractNumId w:val="40"/>
  </w:num>
  <w:num w:numId="13">
    <w:abstractNumId w:val="25"/>
  </w:num>
  <w:num w:numId="14">
    <w:abstractNumId w:val="23"/>
  </w:num>
  <w:num w:numId="15">
    <w:abstractNumId w:val="37"/>
  </w:num>
  <w:num w:numId="16">
    <w:abstractNumId w:val="12"/>
  </w:num>
  <w:num w:numId="17">
    <w:abstractNumId w:val="24"/>
  </w:num>
  <w:num w:numId="18">
    <w:abstractNumId w:val="35"/>
  </w:num>
  <w:num w:numId="19">
    <w:abstractNumId w:val="32"/>
  </w:num>
  <w:num w:numId="20">
    <w:abstractNumId w:val="3"/>
  </w:num>
  <w:num w:numId="21">
    <w:abstractNumId w:val="4"/>
  </w:num>
  <w:num w:numId="22">
    <w:abstractNumId w:val="17"/>
  </w:num>
  <w:num w:numId="23">
    <w:abstractNumId w:val="20"/>
  </w:num>
  <w:num w:numId="24">
    <w:abstractNumId w:val="22"/>
  </w:num>
  <w:num w:numId="25">
    <w:abstractNumId w:val="21"/>
  </w:num>
  <w:num w:numId="26">
    <w:abstractNumId w:val="13"/>
  </w:num>
  <w:num w:numId="27">
    <w:abstractNumId w:val="10"/>
  </w:num>
  <w:num w:numId="28">
    <w:abstractNumId w:val="30"/>
  </w:num>
  <w:num w:numId="29">
    <w:abstractNumId w:val="16"/>
  </w:num>
  <w:num w:numId="30">
    <w:abstractNumId w:val="9"/>
  </w:num>
  <w:num w:numId="31">
    <w:abstractNumId w:val="2"/>
  </w:num>
  <w:num w:numId="32">
    <w:abstractNumId w:val="41"/>
  </w:num>
  <w:num w:numId="33">
    <w:abstractNumId w:val="39"/>
  </w:num>
  <w:num w:numId="34">
    <w:abstractNumId w:val="38"/>
  </w:num>
  <w:num w:numId="35">
    <w:abstractNumId w:val="0"/>
  </w:num>
  <w:num w:numId="36">
    <w:abstractNumId w:val="27"/>
  </w:num>
  <w:num w:numId="37">
    <w:abstractNumId w:val="15"/>
  </w:num>
  <w:num w:numId="38">
    <w:abstractNumId w:val="5"/>
  </w:num>
  <w:num w:numId="39">
    <w:abstractNumId w:val="26"/>
  </w:num>
  <w:num w:numId="40">
    <w:abstractNumId w:val="36"/>
  </w:num>
  <w:num w:numId="41">
    <w:abstractNumId w:val="11"/>
  </w:num>
  <w:num w:numId="4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95"/>
    <w:rsid w:val="00015BC8"/>
    <w:rsid w:val="000169C8"/>
    <w:rsid w:val="00032CE8"/>
    <w:rsid w:val="00041795"/>
    <w:rsid w:val="00044597"/>
    <w:rsid w:val="00047EF6"/>
    <w:rsid w:val="000625AE"/>
    <w:rsid w:val="00072D03"/>
    <w:rsid w:val="00080C8A"/>
    <w:rsid w:val="0008195D"/>
    <w:rsid w:val="00096E4A"/>
    <w:rsid w:val="000A227D"/>
    <w:rsid w:val="000C7CD9"/>
    <w:rsid w:val="000D04F8"/>
    <w:rsid w:val="000D45BE"/>
    <w:rsid w:val="000D5253"/>
    <w:rsid w:val="000E5452"/>
    <w:rsid w:val="000E5C90"/>
    <w:rsid w:val="00105A28"/>
    <w:rsid w:val="00142812"/>
    <w:rsid w:val="00151498"/>
    <w:rsid w:val="00157AE9"/>
    <w:rsid w:val="00167F06"/>
    <w:rsid w:val="001724FD"/>
    <w:rsid w:val="00180394"/>
    <w:rsid w:val="00181E66"/>
    <w:rsid w:val="00187CDA"/>
    <w:rsid w:val="001D41A0"/>
    <w:rsid w:val="001E462A"/>
    <w:rsid w:val="001F7256"/>
    <w:rsid w:val="00205083"/>
    <w:rsid w:val="002071E3"/>
    <w:rsid w:val="00237685"/>
    <w:rsid w:val="00272072"/>
    <w:rsid w:val="002B3815"/>
    <w:rsid w:val="002C249D"/>
    <w:rsid w:val="002E0CFF"/>
    <w:rsid w:val="002E2C8A"/>
    <w:rsid w:val="0030234E"/>
    <w:rsid w:val="003209E0"/>
    <w:rsid w:val="003219A7"/>
    <w:rsid w:val="003527F4"/>
    <w:rsid w:val="00361E2E"/>
    <w:rsid w:val="0036696D"/>
    <w:rsid w:val="00367A7D"/>
    <w:rsid w:val="003717A5"/>
    <w:rsid w:val="0039071B"/>
    <w:rsid w:val="003A4BC2"/>
    <w:rsid w:val="003B17B6"/>
    <w:rsid w:val="003B3BC1"/>
    <w:rsid w:val="003B774B"/>
    <w:rsid w:val="003C371F"/>
    <w:rsid w:val="003D6EAD"/>
    <w:rsid w:val="003F48C4"/>
    <w:rsid w:val="0041026F"/>
    <w:rsid w:val="004105C2"/>
    <w:rsid w:val="00410EEC"/>
    <w:rsid w:val="0041423D"/>
    <w:rsid w:val="00442BF1"/>
    <w:rsid w:val="00445F3F"/>
    <w:rsid w:val="00447D8D"/>
    <w:rsid w:val="00473028"/>
    <w:rsid w:val="004838CD"/>
    <w:rsid w:val="00486343"/>
    <w:rsid w:val="00493DB5"/>
    <w:rsid w:val="004A502E"/>
    <w:rsid w:val="004D2C1A"/>
    <w:rsid w:val="004F6E33"/>
    <w:rsid w:val="00512647"/>
    <w:rsid w:val="00537522"/>
    <w:rsid w:val="005407CD"/>
    <w:rsid w:val="00560793"/>
    <w:rsid w:val="00572186"/>
    <w:rsid w:val="00594187"/>
    <w:rsid w:val="005A55ED"/>
    <w:rsid w:val="005C187C"/>
    <w:rsid w:val="005C2EC3"/>
    <w:rsid w:val="005D70FA"/>
    <w:rsid w:val="005F40A8"/>
    <w:rsid w:val="005F6F16"/>
    <w:rsid w:val="0060320E"/>
    <w:rsid w:val="00621EC4"/>
    <w:rsid w:val="00646466"/>
    <w:rsid w:val="0064737B"/>
    <w:rsid w:val="006600D9"/>
    <w:rsid w:val="006622CC"/>
    <w:rsid w:val="00676AFC"/>
    <w:rsid w:val="006858FB"/>
    <w:rsid w:val="006871EF"/>
    <w:rsid w:val="00690267"/>
    <w:rsid w:val="00690E19"/>
    <w:rsid w:val="006A435E"/>
    <w:rsid w:val="006A56B3"/>
    <w:rsid w:val="006B1ADB"/>
    <w:rsid w:val="006B71E9"/>
    <w:rsid w:val="006D73CE"/>
    <w:rsid w:val="006F082C"/>
    <w:rsid w:val="006F1068"/>
    <w:rsid w:val="00704899"/>
    <w:rsid w:val="00710E2F"/>
    <w:rsid w:val="007201FB"/>
    <w:rsid w:val="007428DF"/>
    <w:rsid w:val="0074793F"/>
    <w:rsid w:val="00763854"/>
    <w:rsid w:val="0077652F"/>
    <w:rsid w:val="007A5FAA"/>
    <w:rsid w:val="007B2BF7"/>
    <w:rsid w:val="007B4290"/>
    <w:rsid w:val="007C172C"/>
    <w:rsid w:val="007C4B83"/>
    <w:rsid w:val="007D6F90"/>
    <w:rsid w:val="00802924"/>
    <w:rsid w:val="008040B4"/>
    <w:rsid w:val="00806091"/>
    <w:rsid w:val="00806F07"/>
    <w:rsid w:val="0080716A"/>
    <w:rsid w:val="00810806"/>
    <w:rsid w:val="00834ABE"/>
    <w:rsid w:val="00840648"/>
    <w:rsid w:val="00850574"/>
    <w:rsid w:val="00870E97"/>
    <w:rsid w:val="008761FD"/>
    <w:rsid w:val="008A092A"/>
    <w:rsid w:val="008A664D"/>
    <w:rsid w:val="008C5E83"/>
    <w:rsid w:val="008D5B3C"/>
    <w:rsid w:val="008F5FC2"/>
    <w:rsid w:val="008F65E1"/>
    <w:rsid w:val="00912AFF"/>
    <w:rsid w:val="0092708C"/>
    <w:rsid w:val="009272B3"/>
    <w:rsid w:val="00935D75"/>
    <w:rsid w:val="00941D58"/>
    <w:rsid w:val="0095360D"/>
    <w:rsid w:val="0095545F"/>
    <w:rsid w:val="00970F31"/>
    <w:rsid w:val="0097249A"/>
    <w:rsid w:val="00973874"/>
    <w:rsid w:val="00982BEA"/>
    <w:rsid w:val="009A14ED"/>
    <w:rsid w:val="009F0927"/>
    <w:rsid w:val="009F6E31"/>
    <w:rsid w:val="00A11474"/>
    <w:rsid w:val="00A16CF6"/>
    <w:rsid w:val="00A24BE6"/>
    <w:rsid w:val="00A3679E"/>
    <w:rsid w:val="00A91FF8"/>
    <w:rsid w:val="00A969DB"/>
    <w:rsid w:val="00AC1227"/>
    <w:rsid w:val="00AD4EE7"/>
    <w:rsid w:val="00AD7CEA"/>
    <w:rsid w:val="00AE2FA1"/>
    <w:rsid w:val="00AE315E"/>
    <w:rsid w:val="00AE579D"/>
    <w:rsid w:val="00B03D75"/>
    <w:rsid w:val="00B53638"/>
    <w:rsid w:val="00B735A0"/>
    <w:rsid w:val="00B9456B"/>
    <w:rsid w:val="00BA1EC4"/>
    <w:rsid w:val="00BA6E09"/>
    <w:rsid w:val="00BB4F81"/>
    <w:rsid w:val="00BE6350"/>
    <w:rsid w:val="00C05671"/>
    <w:rsid w:val="00C05A56"/>
    <w:rsid w:val="00C213F2"/>
    <w:rsid w:val="00C23E73"/>
    <w:rsid w:val="00C30975"/>
    <w:rsid w:val="00C33BC9"/>
    <w:rsid w:val="00C43994"/>
    <w:rsid w:val="00C60D5C"/>
    <w:rsid w:val="00C66E56"/>
    <w:rsid w:val="00C83D35"/>
    <w:rsid w:val="00CA52AD"/>
    <w:rsid w:val="00CC276A"/>
    <w:rsid w:val="00CC7734"/>
    <w:rsid w:val="00CC7A81"/>
    <w:rsid w:val="00CD3BC0"/>
    <w:rsid w:val="00CD58D3"/>
    <w:rsid w:val="00CD64A7"/>
    <w:rsid w:val="00D02910"/>
    <w:rsid w:val="00D22A48"/>
    <w:rsid w:val="00D343F7"/>
    <w:rsid w:val="00DA06D0"/>
    <w:rsid w:val="00DA5AED"/>
    <w:rsid w:val="00DE48D4"/>
    <w:rsid w:val="00DF18C9"/>
    <w:rsid w:val="00DF231A"/>
    <w:rsid w:val="00E03A66"/>
    <w:rsid w:val="00E17A1A"/>
    <w:rsid w:val="00E26CF0"/>
    <w:rsid w:val="00E33BDF"/>
    <w:rsid w:val="00E47EEA"/>
    <w:rsid w:val="00E50B8C"/>
    <w:rsid w:val="00E52D9B"/>
    <w:rsid w:val="00E7550A"/>
    <w:rsid w:val="00E811CA"/>
    <w:rsid w:val="00EA22AB"/>
    <w:rsid w:val="00EA36E6"/>
    <w:rsid w:val="00EA38D5"/>
    <w:rsid w:val="00EA6AFC"/>
    <w:rsid w:val="00EA7269"/>
    <w:rsid w:val="00EB115E"/>
    <w:rsid w:val="00EE0737"/>
    <w:rsid w:val="00EE57D1"/>
    <w:rsid w:val="00EF194D"/>
    <w:rsid w:val="00F02F9D"/>
    <w:rsid w:val="00F13C46"/>
    <w:rsid w:val="00F23B32"/>
    <w:rsid w:val="00F3072D"/>
    <w:rsid w:val="00F53B15"/>
    <w:rsid w:val="00F72F0D"/>
    <w:rsid w:val="00F80A82"/>
    <w:rsid w:val="00F82AF2"/>
    <w:rsid w:val="00F95A2D"/>
    <w:rsid w:val="00FA34DE"/>
    <w:rsid w:val="00FD1CCB"/>
    <w:rsid w:val="00FE397F"/>
    <w:rsid w:val="00FE647D"/>
    <w:rsid w:val="00FF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19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95"/>
    <w:pPr>
      <w:ind w:left="720"/>
      <w:contextualSpacing/>
    </w:pPr>
  </w:style>
  <w:style w:type="paragraph" w:styleId="NoSpacing">
    <w:name w:val="No Spacing"/>
    <w:uiPriority w:val="1"/>
    <w:qFormat/>
    <w:rsid w:val="00B735A0"/>
    <w:pPr>
      <w:spacing w:after="0" w:line="240" w:lineRule="auto"/>
    </w:pPr>
  </w:style>
  <w:style w:type="paragraph" w:styleId="Header">
    <w:name w:val="header"/>
    <w:basedOn w:val="Normal"/>
    <w:link w:val="HeaderChar"/>
    <w:uiPriority w:val="99"/>
    <w:unhideWhenUsed/>
    <w:rsid w:val="008A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92A"/>
  </w:style>
  <w:style w:type="paragraph" w:styleId="Footer">
    <w:name w:val="footer"/>
    <w:basedOn w:val="Normal"/>
    <w:link w:val="FooterChar"/>
    <w:uiPriority w:val="99"/>
    <w:unhideWhenUsed/>
    <w:rsid w:val="008A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92A"/>
  </w:style>
  <w:style w:type="character" w:styleId="Hyperlink">
    <w:name w:val="Hyperlink"/>
    <w:basedOn w:val="DefaultParagraphFont"/>
    <w:uiPriority w:val="99"/>
    <w:semiHidden/>
    <w:unhideWhenUsed/>
    <w:rsid w:val="00AC1227"/>
    <w:rPr>
      <w:rFonts w:ascii="Verdana" w:hAnsi="Verdana" w:hint="default"/>
      <w:color w:val="336699"/>
      <w:u w:val="single"/>
    </w:rPr>
  </w:style>
  <w:style w:type="character" w:customStyle="1" w:styleId="sharelink1">
    <w:name w:val="share_link1"/>
    <w:basedOn w:val="DefaultParagraphFont"/>
    <w:rsid w:val="00AC1227"/>
  </w:style>
  <w:style w:type="character" w:customStyle="1" w:styleId="bnaid">
    <w:name w:val="bna_id"/>
    <w:basedOn w:val="DefaultParagraphFont"/>
    <w:rsid w:val="00AC1227"/>
  </w:style>
  <w:style w:type="character" w:customStyle="1" w:styleId="emphi1">
    <w:name w:val="emphi1"/>
    <w:basedOn w:val="DefaultParagraphFont"/>
    <w:rsid w:val="00AC1227"/>
    <w:rPr>
      <w:i/>
      <w:iCs/>
    </w:rPr>
  </w:style>
  <w:style w:type="paragraph" w:styleId="BalloonText">
    <w:name w:val="Balloon Text"/>
    <w:basedOn w:val="Normal"/>
    <w:link w:val="BalloonTextChar"/>
    <w:uiPriority w:val="99"/>
    <w:semiHidden/>
    <w:unhideWhenUsed/>
    <w:rsid w:val="00AC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27"/>
    <w:rPr>
      <w:rFonts w:ascii="Tahoma" w:hAnsi="Tahoma" w:cs="Tahoma"/>
      <w:sz w:val="16"/>
      <w:szCs w:val="16"/>
    </w:rPr>
  </w:style>
  <w:style w:type="paragraph" w:styleId="FootnoteText">
    <w:name w:val="footnote text"/>
    <w:basedOn w:val="Normal"/>
    <w:link w:val="FootnoteTextChar"/>
    <w:uiPriority w:val="99"/>
    <w:semiHidden/>
    <w:unhideWhenUsed/>
    <w:rsid w:val="00F02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F9D"/>
    <w:rPr>
      <w:sz w:val="20"/>
      <w:szCs w:val="20"/>
    </w:rPr>
  </w:style>
  <w:style w:type="character" w:styleId="FootnoteReference">
    <w:name w:val="footnote reference"/>
    <w:basedOn w:val="DefaultParagraphFont"/>
    <w:uiPriority w:val="99"/>
    <w:semiHidden/>
    <w:unhideWhenUsed/>
    <w:rsid w:val="00F02F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95"/>
    <w:pPr>
      <w:ind w:left="720"/>
      <w:contextualSpacing/>
    </w:pPr>
  </w:style>
  <w:style w:type="paragraph" w:styleId="NoSpacing">
    <w:name w:val="No Spacing"/>
    <w:uiPriority w:val="1"/>
    <w:qFormat/>
    <w:rsid w:val="00B735A0"/>
    <w:pPr>
      <w:spacing w:after="0" w:line="240" w:lineRule="auto"/>
    </w:pPr>
  </w:style>
  <w:style w:type="paragraph" w:styleId="Header">
    <w:name w:val="header"/>
    <w:basedOn w:val="Normal"/>
    <w:link w:val="HeaderChar"/>
    <w:uiPriority w:val="99"/>
    <w:unhideWhenUsed/>
    <w:rsid w:val="008A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92A"/>
  </w:style>
  <w:style w:type="paragraph" w:styleId="Footer">
    <w:name w:val="footer"/>
    <w:basedOn w:val="Normal"/>
    <w:link w:val="FooterChar"/>
    <w:uiPriority w:val="99"/>
    <w:unhideWhenUsed/>
    <w:rsid w:val="008A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92A"/>
  </w:style>
  <w:style w:type="character" w:styleId="Hyperlink">
    <w:name w:val="Hyperlink"/>
    <w:basedOn w:val="DefaultParagraphFont"/>
    <w:uiPriority w:val="99"/>
    <w:semiHidden/>
    <w:unhideWhenUsed/>
    <w:rsid w:val="00AC1227"/>
    <w:rPr>
      <w:rFonts w:ascii="Verdana" w:hAnsi="Verdana" w:hint="default"/>
      <w:color w:val="336699"/>
      <w:u w:val="single"/>
    </w:rPr>
  </w:style>
  <w:style w:type="character" w:customStyle="1" w:styleId="sharelink1">
    <w:name w:val="share_link1"/>
    <w:basedOn w:val="DefaultParagraphFont"/>
    <w:rsid w:val="00AC1227"/>
  </w:style>
  <w:style w:type="character" w:customStyle="1" w:styleId="bnaid">
    <w:name w:val="bna_id"/>
    <w:basedOn w:val="DefaultParagraphFont"/>
    <w:rsid w:val="00AC1227"/>
  </w:style>
  <w:style w:type="character" w:customStyle="1" w:styleId="emphi1">
    <w:name w:val="emphi1"/>
    <w:basedOn w:val="DefaultParagraphFont"/>
    <w:rsid w:val="00AC1227"/>
    <w:rPr>
      <w:i/>
      <w:iCs/>
    </w:rPr>
  </w:style>
  <w:style w:type="paragraph" w:styleId="BalloonText">
    <w:name w:val="Balloon Text"/>
    <w:basedOn w:val="Normal"/>
    <w:link w:val="BalloonTextChar"/>
    <w:uiPriority w:val="99"/>
    <w:semiHidden/>
    <w:unhideWhenUsed/>
    <w:rsid w:val="00AC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27"/>
    <w:rPr>
      <w:rFonts w:ascii="Tahoma" w:hAnsi="Tahoma" w:cs="Tahoma"/>
      <w:sz w:val="16"/>
      <w:szCs w:val="16"/>
    </w:rPr>
  </w:style>
  <w:style w:type="paragraph" w:styleId="FootnoteText">
    <w:name w:val="footnote text"/>
    <w:basedOn w:val="Normal"/>
    <w:link w:val="FootnoteTextChar"/>
    <w:uiPriority w:val="99"/>
    <w:semiHidden/>
    <w:unhideWhenUsed/>
    <w:rsid w:val="00F02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F9D"/>
    <w:rPr>
      <w:sz w:val="20"/>
      <w:szCs w:val="20"/>
    </w:rPr>
  </w:style>
  <w:style w:type="character" w:styleId="FootnoteReference">
    <w:name w:val="footnote reference"/>
    <w:basedOn w:val="DefaultParagraphFont"/>
    <w:uiPriority w:val="99"/>
    <w:semiHidden/>
    <w:unhideWhenUsed/>
    <w:rsid w:val="00F02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3506">
      <w:bodyDiv w:val="1"/>
      <w:marLeft w:val="0"/>
      <w:marRight w:val="0"/>
      <w:marTop w:val="0"/>
      <w:marBottom w:val="0"/>
      <w:divBdr>
        <w:top w:val="none" w:sz="0" w:space="0" w:color="auto"/>
        <w:left w:val="none" w:sz="0" w:space="0" w:color="auto"/>
        <w:bottom w:val="none" w:sz="0" w:space="0" w:color="auto"/>
        <w:right w:val="none" w:sz="0" w:space="0" w:color="auto"/>
      </w:divBdr>
      <w:divsChild>
        <w:div w:id="1273124520">
          <w:marLeft w:val="0"/>
          <w:marRight w:val="150"/>
          <w:marTop w:val="0"/>
          <w:marBottom w:val="0"/>
          <w:divBdr>
            <w:top w:val="none" w:sz="0" w:space="0" w:color="auto"/>
            <w:left w:val="none" w:sz="0" w:space="0" w:color="auto"/>
            <w:bottom w:val="none" w:sz="0" w:space="0" w:color="auto"/>
            <w:right w:val="none" w:sz="0" w:space="0" w:color="auto"/>
          </w:divBdr>
          <w:divsChild>
            <w:div w:id="2037802560">
              <w:marLeft w:val="0"/>
              <w:marRight w:val="0"/>
              <w:marTop w:val="0"/>
              <w:marBottom w:val="0"/>
              <w:divBdr>
                <w:top w:val="none" w:sz="0" w:space="0" w:color="auto"/>
                <w:left w:val="none" w:sz="0" w:space="0" w:color="auto"/>
                <w:bottom w:val="none" w:sz="0" w:space="0" w:color="auto"/>
                <w:right w:val="none" w:sz="0" w:space="0" w:color="auto"/>
              </w:divBdr>
              <w:divsChild>
                <w:div w:id="846478111">
                  <w:marLeft w:val="360"/>
                  <w:marRight w:val="360"/>
                  <w:marTop w:val="0"/>
                  <w:marBottom w:val="0"/>
                  <w:divBdr>
                    <w:top w:val="none" w:sz="0" w:space="0" w:color="auto"/>
                    <w:left w:val="none" w:sz="0" w:space="0" w:color="auto"/>
                    <w:bottom w:val="none" w:sz="0" w:space="0" w:color="auto"/>
                    <w:right w:val="none" w:sz="0" w:space="0" w:color="auto"/>
                  </w:divBdr>
                </w:div>
                <w:div w:id="1002393796">
                  <w:marLeft w:val="0"/>
                  <w:marRight w:val="0"/>
                  <w:marTop w:val="0"/>
                  <w:marBottom w:val="0"/>
                  <w:divBdr>
                    <w:top w:val="none" w:sz="0" w:space="0" w:color="auto"/>
                    <w:left w:val="none" w:sz="0" w:space="0" w:color="auto"/>
                    <w:bottom w:val="none" w:sz="0" w:space="0" w:color="auto"/>
                    <w:right w:val="none" w:sz="0" w:space="0" w:color="auto"/>
                  </w:divBdr>
                </w:div>
                <w:div w:id="574438950">
                  <w:marLeft w:val="0"/>
                  <w:marRight w:val="0"/>
                  <w:marTop w:val="0"/>
                  <w:marBottom w:val="0"/>
                  <w:divBdr>
                    <w:top w:val="none" w:sz="0" w:space="0" w:color="auto"/>
                    <w:left w:val="none" w:sz="0" w:space="0" w:color="auto"/>
                    <w:bottom w:val="none" w:sz="0" w:space="0" w:color="auto"/>
                    <w:right w:val="none" w:sz="0" w:space="0" w:color="auto"/>
                  </w:divBdr>
                </w:div>
                <w:div w:id="1426610442">
                  <w:marLeft w:val="864"/>
                  <w:marRight w:val="1296"/>
                  <w:marTop w:val="144"/>
                  <w:marBottom w:val="144"/>
                  <w:divBdr>
                    <w:top w:val="single" w:sz="6" w:space="0" w:color="auto"/>
                    <w:left w:val="none" w:sz="0" w:space="0" w:color="auto"/>
                    <w:bottom w:val="single" w:sz="6" w:space="0" w:color="auto"/>
                    <w:right w:val="none" w:sz="0" w:space="0" w:color="auto"/>
                  </w:divBdr>
                  <w:divsChild>
                    <w:div w:id="12065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88336">
      <w:bodyDiv w:val="1"/>
      <w:marLeft w:val="0"/>
      <w:marRight w:val="0"/>
      <w:marTop w:val="0"/>
      <w:marBottom w:val="0"/>
      <w:divBdr>
        <w:top w:val="none" w:sz="0" w:space="0" w:color="auto"/>
        <w:left w:val="none" w:sz="0" w:space="0" w:color="auto"/>
        <w:bottom w:val="none" w:sz="0" w:space="0" w:color="auto"/>
        <w:right w:val="none" w:sz="0" w:space="0" w:color="auto"/>
      </w:divBdr>
      <w:divsChild>
        <w:div w:id="1406951088">
          <w:marLeft w:val="0"/>
          <w:marRight w:val="150"/>
          <w:marTop w:val="0"/>
          <w:marBottom w:val="0"/>
          <w:divBdr>
            <w:top w:val="none" w:sz="0" w:space="0" w:color="auto"/>
            <w:left w:val="none" w:sz="0" w:space="0" w:color="auto"/>
            <w:bottom w:val="none" w:sz="0" w:space="0" w:color="auto"/>
            <w:right w:val="none" w:sz="0" w:space="0" w:color="auto"/>
          </w:divBdr>
          <w:divsChild>
            <w:div w:id="15273520">
              <w:marLeft w:val="0"/>
              <w:marRight w:val="0"/>
              <w:marTop w:val="0"/>
              <w:marBottom w:val="0"/>
              <w:divBdr>
                <w:top w:val="none" w:sz="0" w:space="0" w:color="auto"/>
                <w:left w:val="none" w:sz="0" w:space="0" w:color="auto"/>
                <w:bottom w:val="none" w:sz="0" w:space="0" w:color="auto"/>
                <w:right w:val="none" w:sz="0" w:space="0" w:color="auto"/>
              </w:divBdr>
              <w:divsChild>
                <w:div w:id="2073960001">
                  <w:marLeft w:val="0"/>
                  <w:marRight w:val="0"/>
                  <w:marTop w:val="0"/>
                  <w:marBottom w:val="0"/>
                  <w:divBdr>
                    <w:top w:val="none" w:sz="0" w:space="0" w:color="auto"/>
                    <w:left w:val="none" w:sz="0" w:space="0" w:color="auto"/>
                    <w:bottom w:val="none" w:sz="0" w:space="0" w:color="auto"/>
                    <w:right w:val="none" w:sz="0" w:space="0" w:color="auto"/>
                  </w:divBdr>
                </w:div>
                <w:div w:id="1465662282">
                  <w:marLeft w:val="864"/>
                  <w:marRight w:val="1296"/>
                  <w:marTop w:val="144"/>
                  <w:marBottom w:val="144"/>
                  <w:divBdr>
                    <w:top w:val="single" w:sz="6" w:space="0" w:color="auto"/>
                    <w:left w:val="none" w:sz="0" w:space="0" w:color="auto"/>
                    <w:bottom w:val="single" w:sz="6" w:space="0" w:color="auto"/>
                    <w:right w:val="none" w:sz="0" w:space="0" w:color="auto"/>
                  </w:divBdr>
                  <w:divsChild>
                    <w:div w:id="624964939">
                      <w:marLeft w:val="0"/>
                      <w:marRight w:val="0"/>
                      <w:marTop w:val="0"/>
                      <w:marBottom w:val="0"/>
                      <w:divBdr>
                        <w:top w:val="none" w:sz="0" w:space="0" w:color="auto"/>
                        <w:left w:val="none" w:sz="0" w:space="0" w:color="auto"/>
                        <w:bottom w:val="none" w:sz="0" w:space="0" w:color="auto"/>
                        <w:right w:val="none" w:sz="0" w:space="0" w:color="auto"/>
                      </w:divBdr>
                    </w:div>
                    <w:div w:id="668216724">
                      <w:marLeft w:val="0"/>
                      <w:marRight w:val="0"/>
                      <w:marTop w:val="0"/>
                      <w:marBottom w:val="0"/>
                      <w:divBdr>
                        <w:top w:val="none" w:sz="0" w:space="0" w:color="auto"/>
                        <w:left w:val="none" w:sz="0" w:space="0" w:color="auto"/>
                        <w:bottom w:val="none" w:sz="0" w:space="0" w:color="auto"/>
                        <w:right w:val="none" w:sz="0" w:space="0" w:color="auto"/>
                      </w:divBdr>
                    </w:div>
                    <w:div w:id="153953593">
                      <w:marLeft w:val="0"/>
                      <w:marRight w:val="0"/>
                      <w:marTop w:val="0"/>
                      <w:marBottom w:val="0"/>
                      <w:divBdr>
                        <w:top w:val="none" w:sz="0" w:space="0" w:color="auto"/>
                        <w:left w:val="none" w:sz="0" w:space="0" w:color="auto"/>
                        <w:bottom w:val="none" w:sz="0" w:space="0" w:color="auto"/>
                        <w:right w:val="none" w:sz="0" w:space="0" w:color="auto"/>
                      </w:divBdr>
                    </w:div>
                    <w:div w:id="146478257">
                      <w:marLeft w:val="0"/>
                      <w:marRight w:val="0"/>
                      <w:marTop w:val="0"/>
                      <w:marBottom w:val="0"/>
                      <w:divBdr>
                        <w:top w:val="none" w:sz="0" w:space="0" w:color="auto"/>
                        <w:left w:val="none" w:sz="0" w:space="0" w:color="auto"/>
                        <w:bottom w:val="none" w:sz="0" w:space="0" w:color="auto"/>
                        <w:right w:val="none" w:sz="0" w:space="0" w:color="auto"/>
                      </w:divBdr>
                    </w:div>
                  </w:divsChild>
                </w:div>
                <w:div w:id="2120563506">
                  <w:marLeft w:val="360"/>
                  <w:marRight w:val="360"/>
                  <w:marTop w:val="0"/>
                  <w:marBottom w:val="0"/>
                  <w:divBdr>
                    <w:top w:val="none" w:sz="0" w:space="0" w:color="auto"/>
                    <w:left w:val="none" w:sz="0" w:space="0" w:color="auto"/>
                    <w:bottom w:val="none" w:sz="0" w:space="0" w:color="auto"/>
                    <w:right w:val="none" w:sz="0" w:space="0" w:color="auto"/>
                  </w:divBdr>
                  <w:divsChild>
                    <w:div w:id="351034841">
                      <w:marLeft w:val="0"/>
                      <w:marRight w:val="0"/>
                      <w:marTop w:val="0"/>
                      <w:marBottom w:val="0"/>
                      <w:divBdr>
                        <w:top w:val="none" w:sz="0" w:space="0" w:color="auto"/>
                        <w:left w:val="none" w:sz="0" w:space="0" w:color="auto"/>
                        <w:bottom w:val="none" w:sz="0" w:space="0" w:color="auto"/>
                        <w:right w:val="none" w:sz="0" w:space="0" w:color="auto"/>
                      </w:divBdr>
                    </w:div>
                  </w:divsChild>
                </w:div>
                <w:div w:id="16733408">
                  <w:marLeft w:val="0"/>
                  <w:marRight w:val="0"/>
                  <w:marTop w:val="0"/>
                  <w:marBottom w:val="0"/>
                  <w:divBdr>
                    <w:top w:val="none" w:sz="0" w:space="0" w:color="auto"/>
                    <w:left w:val="none" w:sz="0" w:space="0" w:color="auto"/>
                    <w:bottom w:val="none" w:sz="0" w:space="0" w:color="auto"/>
                    <w:right w:val="none" w:sz="0" w:space="0" w:color="auto"/>
                  </w:divBdr>
                </w:div>
                <w:div w:id="1993873620">
                  <w:marLeft w:val="864"/>
                  <w:marRight w:val="1296"/>
                  <w:marTop w:val="144"/>
                  <w:marBottom w:val="144"/>
                  <w:divBdr>
                    <w:top w:val="single" w:sz="6" w:space="0" w:color="auto"/>
                    <w:left w:val="none" w:sz="0" w:space="0" w:color="auto"/>
                    <w:bottom w:val="single" w:sz="6" w:space="0" w:color="auto"/>
                    <w:right w:val="none" w:sz="0" w:space="0" w:color="auto"/>
                  </w:divBdr>
                  <w:divsChild>
                    <w:div w:id="1204175589">
                      <w:marLeft w:val="0"/>
                      <w:marRight w:val="0"/>
                      <w:marTop w:val="0"/>
                      <w:marBottom w:val="0"/>
                      <w:divBdr>
                        <w:top w:val="none" w:sz="0" w:space="0" w:color="auto"/>
                        <w:left w:val="none" w:sz="0" w:space="0" w:color="auto"/>
                        <w:bottom w:val="none" w:sz="0" w:space="0" w:color="auto"/>
                        <w:right w:val="none" w:sz="0" w:space="0" w:color="auto"/>
                      </w:divBdr>
                    </w:div>
                  </w:divsChild>
                </w:div>
                <w:div w:id="1669088828">
                  <w:marLeft w:val="360"/>
                  <w:marRight w:val="360"/>
                  <w:marTop w:val="0"/>
                  <w:marBottom w:val="0"/>
                  <w:divBdr>
                    <w:top w:val="none" w:sz="0" w:space="0" w:color="auto"/>
                    <w:left w:val="none" w:sz="0" w:space="0" w:color="auto"/>
                    <w:bottom w:val="none" w:sz="0" w:space="0" w:color="auto"/>
                    <w:right w:val="none" w:sz="0" w:space="0" w:color="auto"/>
                  </w:divBdr>
                  <w:divsChild>
                    <w:div w:id="1267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4898">
      <w:bodyDiv w:val="1"/>
      <w:marLeft w:val="0"/>
      <w:marRight w:val="0"/>
      <w:marTop w:val="0"/>
      <w:marBottom w:val="0"/>
      <w:divBdr>
        <w:top w:val="none" w:sz="0" w:space="0" w:color="auto"/>
        <w:left w:val="none" w:sz="0" w:space="0" w:color="auto"/>
        <w:bottom w:val="none" w:sz="0" w:space="0" w:color="auto"/>
        <w:right w:val="none" w:sz="0" w:space="0" w:color="auto"/>
      </w:divBdr>
      <w:divsChild>
        <w:div w:id="205795841">
          <w:marLeft w:val="0"/>
          <w:marRight w:val="150"/>
          <w:marTop w:val="0"/>
          <w:marBottom w:val="0"/>
          <w:divBdr>
            <w:top w:val="none" w:sz="0" w:space="0" w:color="auto"/>
            <w:left w:val="none" w:sz="0" w:space="0" w:color="auto"/>
            <w:bottom w:val="none" w:sz="0" w:space="0" w:color="auto"/>
            <w:right w:val="none" w:sz="0" w:space="0" w:color="auto"/>
          </w:divBdr>
          <w:divsChild>
            <w:div w:id="252403068">
              <w:marLeft w:val="0"/>
              <w:marRight w:val="0"/>
              <w:marTop w:val="0"/>
              <w:marBottom w:val="0"/>
              <w:divBdr>
                <w:top w:val="none" w:sz="0" w:space="0" w:color="auto"/>
                <w:left w:val="none" w:sz="0" w:space="0" w:color="auto"/>
                <w:bottom w:val="none" w:sz="0" w:space="0" w:color="auto"/>
                <w:right w:val="none" w:sz="0" w:space="0" w:color="auto"/>
              </w:divBdr>
              <w:divsChild>
                <w:div w:id="631789680">
                  <w:marLeft w:val="0"/>
                  <w:marRight w:val="0"/>
                  <w:marTop w:val="0"/>
                  <w:marBottom w:val="0"/>
                  <w:divBdr>
                    <w:top w:val="none" w:sz="0" w:space="0" w:color="auto"/>
                    <w:left w:val="none" w:sz="0" w:space="0" w:color="auto"/>
                    <w:bottom w:val="none" w:sz="0" w:space="0" w:color="auto"/>
                    <w:right w:val="none" w:sz="0" w:space="0" w:color="auto"/>
                  </w:divBdr>
                </w:div>
                <w:div w:id="1503934734">
                  <w:marLeft w:val="360"/>
                  <w:marRight w:val="360"/>
                  <w:marTop w:val="0"/>
                  <w:marBottom w:val="0"/>
                  <w:divBdr>
                    <w:top w:val="none" w:sz="0" w:space="0" w:color="auto"/>
                    <w:left w:val="none" w:sz="0" w:space="0" w:color="auto"/>
                    <w:bottom w:val="none" w:sz="0" w:space="0" w:color="auto"/>
                    <w:right w:val="none" w:sz="0" w:space="0" w:color="auto"/>
                  </w:divBdr>
                </w:div>
                <w:div w:id="1727605327">
                  <w:marLeft w:val="0"/>
                  <w:marRight w:val="0"/>
                  <w:marTop w:val="0"/>
                  <w:marBottom w:val="0"/>
                  <w:divBdr>
                    <w:top w:val="none" w:sz="0" w:space="0" w:color="auto"/>
                    <w:left w:val="none" w:sz="0" w:space="0" w:color="auto"/>
                    <w:bottom w:val="none" w:sz="0" w:space="0" w:color="auto"/>
                    <w:right w:val="none" w:sz="0" w:space="0" w:color="auto"/>
                  </w:divBdr>
                </w:div>
                <w:div w:id="1024984656">
                  <w:marLeft w:val="0"/>
                  <w:marRight w:val="0"/>
                  <w:marTop w:val="0"/>
                  <w:marBottom w:val="0"/>
                  <w:divBdr>
                    <w:top w:val="none" w:sz="0" w:space="0" w:color="auto"/>
                    <w:left w:val="none" w:sz="0" w:space="0" w:color="auto"/>
                    <w:bottom w:val="none" w:sz="0" w:space="0" w:color="auto"/>
                    <w:right w:val="none" w:sz="0" w:space="0" w:color="auto"/>
                  </w:divBdr>
                </w:div>
                <w:div w:id="1409305462">
                  <w:marLeft w:val="864"/>
                  <w:marRight w:val="1296"/>
                  <w:marTop w:val="144"/>
                  <w:marBottom w:val="144"/>
                  <w:divBdr>
                    <w:top w:val="single" w:sz="6" w:space="0" w:color="auto"/>
                    <w:left w:val="none" w:sz="0" w:space="0" w:color="auto"/>
                    <w:bottom w:val="single" w:sz="6" w:space="0" w:color="auto"/>
                    <w:right w:val="none" w:sz="0" w:space="0" w:color="auto"/>
                  </w:divBdr>
                  <w:divsChild>
                    <w:div w:id="878976978">
                      <w:marLeft w:val="0"/>
                      <w:marRight w:val="0"/>
                      <w:marTop w:val="0"/>
                      <w:marBottom w:val="0"/>
                      <w:divBdr>
                        <w:top w:val="none" w:sz="0" w:space="0" w:color="auto"/>
                        <w:left w:val="none" w:sz="0" w:space="0" w:color="auto"/>
                        <w:bottom w:val="none" w:sz="0" w:space="0" w:color="auto"/>
                        <w:right w:val="none" w:sz="0" w:space="0" w:color="auto"/>
                      </w:divBdr>
                    </w:div>
                  </w:divsChild>
                </w:div>
                <w:div w:id="381910521">
                  <w:marLeft w:val="360"/>
                  <w:marRight w:val="360"/>
                  <w:marTop w:val="0"/>
                  <w:marBottom w:val="0"/>
                  <w:divBdr>
                    <w:top w:val="none" w:sz="0" w:space="0" w:color="auto"/>
                    <w:left w:val="none" w:sz="0" w:space="0" w:color="auto"/>
                    <w:bottom w:val="none" w:sz="0" w:space="0" w:color="auto"/>
                    <w:right w:val="none" w:sz="0" w:space="0" w:color="auto"/>
                  </w:divBdr>
                </w:div>
                <w:div w:id="1628312894">
                  <w:marLeft w:val="0"/>
                  <w:marRight w:val="0"/>
                  <w:marTop w:val="0"/>
                  <w:marBottom w:val="0"/>
                  <w:divBdr>
                    <w:top w:val="none" w:sz="0" w:space="0" w:color="auto"/>
                    <w:left w:val="none" w:sz="0" w:space="0" w:color="auto"/>
                    <w:bottom w:val="none" w:sz="0" w:space="0" w:color="auto"/>
                    <w:right w:val="none" w:sz="0" w:space="0" w:color="auto"/>
                  </w:divBdr>
                </w:div>
                <w:div w:id="1914392703">
                  <w:marLeft w:val="0"/>
                  <w:marRight w:val="0"/>
                  <w:marTop w:val="0"/>
                  <w:marBottom w:val="0"/>
                  <w:divBdr>
                    <w:top w:val="none" w:sz="0" w:space="0" w:color="auto"/>
                    <w:left w:val="none" w:sz="0" w:space="0" w:color="auto"/>
                    <w:bottom w:val="none" w:sz="0" w:space="0" w:color="auto"/>
                    <w:right w:val="none" w:sz="0" w:space="0" w:color="auto"/>
                  </w:divBdr>
                </w:div>
                <w:div w:id="992216788">
                  <w:marLeft w:val="864"/>
                  <w:marRight w:val="1296"/>
                  <w:marTop w:val="144"/>
                  <w:marBottom w:val="144"/>
                  <w:divBdr>
                    <w:top w:val="single" w:sz="6" w:space="0" w:color="auto"/>
                    <w:left w:val="none" w:sz="0" w:space="0" w:color="auto"/>
                    <w:bottom w:val="single" w:sz="6" w:space="0" w:color="auto"/>
                    <w:right w:val="none" w:sz="0" w:space="0" w:color="auto"/>
                  </w:divBdr>
                  <w:divsChild>
                    <w:div w:id="9168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62EF-0CF4-944E-8B1E-B2358430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3443</Words>
  <Characters>19626</Characters>
  <Application>Microsoft Macintosh Word</Application>
  <DocSecurity>0</DocSecurity>
  <PresentationFormat/>
  <Lines>163</Lines>
  <Paragraphs>46</Paragraphs>
  <ScaleCrop>false</ScaleCrop>
  <HeadingPairs>
    <vt:vector size="2" baseType="variant">
      <vt:variant>
        <vt:lpstr>Title</vt:lpstr>
      </vt:variant>
      <vt:variant>
        <vt:i4>1</vt:i4>
      </vt:variant>
    </vt:vector>
  </HeadingPairs>
  <TitlesOfParts>
    <vt:vector size="1" baseType="lpstr">
      <vt:lpstr>Pilgrim Outline/02-27-17  (01055054.DOCX;1)</vt:lpstr>
    </vt:vector>
  </TitlesOfParts>
  <Company>Microsoft</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Pilgrim Outline/02-27-17  (01055054.DOCX;1)</dc:title>
  <dc:subject>01055054-1 /font=6</dc:subject>
  <dc:creator>Randolph M. Karsh</dc:creator>
  <cp:keywords/>
  <dc:description/>
  <cp:lastModifiedBy>Mary Sue Powers</cp:lastModifiedBy>
  <cp:revision>2</cp:revision>
  <cp:lastPrinted>2017-03-14T19:02:00Z</cp:lastPrinted>
  <dcterms:created xsi:type="dcterms:W3CDTF">2017-03-21T23:21:00Z</dcterms:created>
  <dcterms:modified xsi:type="dcterms:W3CDTF">2017-03-21T23:21:00Z</dcterms:modified>
</cp:coreProperties>
</file>